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8C"/>
          <w:sz w:val="44"/>
        </w:rPr>
        <w:t>Stage 12 - Use Case, Impact &amp; Limitations</w:t>
      </w:r>
    </w:p>
    <w:p>
      <w:r>
        <w:rPr>
          <w:color w:val="52514E"/>
          <w:sz w:val="24"/>
        </w:rPr>
        <w:t>RoadEye - Traffic Sign Recognition Using HOG Features and SVM</w:t>
      </w:r>
    </w:p>
    <w:p>
      <w:pPr>
        <w:spacing w:after="0"/>
      </w:pPr>
      <w:r>
        <w:rPr>
          <w:color w:val="52514E"/>
          <w:sz w:val="19"/>
        </w:rPr>
        <w:t>Machine Learning (3CS101CC24) - Nirma University, Institute of Technology - B.Tech CSE, Semester 5</w:t>
      </w:r>
    </w:p>
    <w:p>
      <w:pPr>
        <w:spacing w:after="0"/>
      </w:pPr>
      <w:r>
        <w:rPr>
          <w:color w:val="52514E"/>
          <w:sz w:val="19"/>
        </w:rPr>
        <w:t>Student: [name / roll number - add before submission]</w:t>
      </w:r>
    </w:p>
    <w:p>
      <w:pPr>
        <w:spacing w:after="0"/>
      </w:pPr>
      <w:r>
        <w:rPr>
          <w:color w:val="52514E"/>
          <w:sz w:val="19"/>
        </w:rPr>
        <w:t>Run scope: full_dataset   |   Generated: 2026-10-10</w:t>
      </w:r>
    </w:p>
    <w:p>
      <w:pPr>
        <w:pStyle w:val="Heading2"/>
      </w:pPr>
      <w:r>
        <w:t>Practical use cases</w:t>
      </w:r>
    </w:p>
    <w:p>
      <w:pPr>
        <w:pStyle w:val="ListBullet"/>
        <w:spacing w:after="40"/>
      </w:pPr>
      <w:r>
        <w:t>Sign-classification module behind a detector in a driver-assistance prototype.</w:t>
      </w:r>
    </w:p>
    <w:p>
      <w:pPr>
        <w:pStyle w:val="ListBullet"/>
        <w:spacing w:after="40"/>
      </w:pPr>
      <w:r>
        <w:t>Road-asset inventory: classify sign crops collected by survey vehicles.</w:t>
      </w:r>
    </w:p>
    <w:p>
      <w:pPr>
        <w:pStyle w:val="ListBullet"/>
        <w:spacing w:after="40"/>
      </w:pPr>
      <w:r>
        <w:t>Education: transparent example of a complete classical-ML pipeline.</w:t>
      </w:r>
    </w:p>
    <w:p>
      <w:pPr>
        <w:pStyle w:val="Heading2"/>
      </w:pPr>
      <w:r>
        <w:t>Benefits</w:t>
      </w:r>
    </w:p>
    <w:p>
      <w:pPr>
        <w:pStyle w:val="ListBullet"/>
        <w:spacing w:after="40"/>
      </w:pPr>
      <w:r>
        <w:t>Fast to train and run on a CPU; small model files.</w:t>
      </w:r>
    </w:p>
    <w:p>
      <w:pPr>
        <w:pStyle w:val="ListBullet"/>
        <w:spacing w:after="40"/>
      </w:pPr>
      <w:r>
        <w:t>Interpretable pipeline - every step can be inspected and explained.</w:t>
      </w:r>
    </w:p>
    <w:p>
      <w:pPr>
        <w:pStyle w:val="ListBullet"/>
        <w:spacing w:after="40"/>
      </w:pPr>
      <w:r>
        <w:t>Reproducible: fixed seeds, cached features, one-command pipeline, tests.</w:t>
      </w:r>
    </w:p>
    <w:p>
      <w:pPr>
        <w:pStyle w:val="Heading2"/>
      </w:pPr>
      <w:r>
        <w:t>Stakeholders</w:t>
      </w:r>
    </w:p>
    <w:p>
      <w:r>
        <w:rPr>
          <w:b w:val="0"/>
          <w:i w:val="0"/>
        </w:rPr>
        <w:t>Road users, road authorities, ADAS/map developers, and students/instructors (see Stage 1).</w:t>
      </w:r>
    </w:p>
    <w:p>
      <w:pPr>
        <w:pStyle w:val="Heading2"/>
      </w:pPr>
      <w:r>
        <w:t>Risks</w:t>
      </w:r>
    </w:p>
    <w:p>
      <w:pPr>
        <w:pStyle w:val="ListBullet"/>
        <w:spacing w:after="40"/>
      </w:pPr>
      <w:r>
        <w:t>Misclassification of safety-relevant signs (e.g. speed limits, stop/yield) could mislead a downstream system.</w:t>
      </w:r>
    </w:p>
    <w:p>
      <w:pPr>
        <w:pStyle w:val="ListBullet"/>
        <w:spacing w:after="40"/>
      </w:pPr>
      <w:r>
        <w:t>Over-trust in the output: the app shows decision scores, not calibrated probabilities.</w:t>
      </w:r>
    </w:p>
    <w:p>
      <w:pPr>
        <w:pStyle w:val="ListBullet"/>
        <w:spacing w:after="40"/>
      </w:pPr>
      <w:r>
        <w:t>Distribution shift: other countries, weather, night, damaged or graffitied signs.</w:t>
      </w:r>
    </w:p>
    <w:p>
      <w:pPr>
        <w:pStyle w:val="Heading2"/>
      </w:pPr>
      <w:r>
        <w:t>Limitations</w:t>
      </w:r>
    </w:p>
    <w:p>
      <w:pPr>
        <w:pStyle w:val="ListBullet"/>
        <w:spacing w:after="40"/>
      </w:pPr>
      <w:r>
        <w:t>Classifier only - requires an already-cropped sign; no detection.</w:t>
      </w:r>
    </w:p>
    <w:p>
      <w:pPr>
        <w:pStyle w:val="ListBullet"/>
        <w:spacing w:after="40"/>
      </w:pPr>
      <w:r>
        <w:t>Trained and tested on German signs from one benchmark.</w:t>
      </w:r>
    </w:p>
    <w:p>
      <w:pPr>
        <w:pStyle w:val="ListBullet"/>
        <w:spacing w:after="40"/>
      </w:pPr>
      <w:r>
        <w:t>HOG is not rotation/scale invariant and loses colour; low resolution (32x32) hides fine details such as digits.</w:t>
      </w:r>
    </w:p>
    <w:p>
      <w:pPr>
        <w:pStyle w:val="ListBullet"/>
        <w:spacing w:after="40"/>
      </w:pPr>
      <w:r>
        <w:t>No evaluation on real-time video, motion blur sequences or adversarial inputs.</w:t>
      </w:r>
    </w:p>
    <w:p>
      <w:pPr>
        <w:pStyle w:val="ListBullet"/>
        <w:spacing w:after="40"/>
      </w:pPr>
      <w:r>
        <w:t>Test results estimate performance on unseen signs of the same benchmark only.</w:t>
      </w:r>
    </w:p>
    <w:p>
      <w:pPr>
        <w:pStyle w:val="Heading2"/>
      </w:pPr>
      <w:r>
        <w:t>Ethical considerations</w:t>
      </w:r>
    </w:p>
    <w:p>
      <w:pPr>
        <w:pStyle w:val="ListBullet"/>
        <w:spacing w:after="40"/>
      </w:pPr>
      <w:r>
        <w:t>Safety: results must not be used to justify deployment in vehicles.</w:t>
      </w:r>
    </w:p>
    <w:p>
      <w:pPr>
        <w:pStyle w:val="ListBullet"/>
        <w:spacing w:after="40"/>
      </w:pPr>
      <w:r>
        <w:t>Data: public benchmark, no personal data intended; some images may incidentally contain background scenes - used only for coursework under the dataset terms.</w:t>
      </w:r>
    </w:p>
    <w:p>
      <w:pPr>
        <w:pStyle w:val="ListBullet"/>
        <w:spacing w:after="40"/>
      </w:pPr>
      <w:r>
        <w:t>Honesty: all numbers are measured; external code/models are credited (EXTERNAL_RESOURCES.md).</w:t>
      </w:r>
    </w:p>
    <w:p>
      <w:pPr>
        <w:pStyle w:val="ListBullet"/>
        <w:spacing w:after="40"/>
      </w:pPr>
      <w:r>
        <w:t>Generalisation claims are limited to what was tested.</w:t>
      </w:r>
    </w:p>
    <w:p>
      <w:pPr>
        <w:pStyle w:val="Heading2"/>
      </w:pPr>
      <w:r>
        <w:t>Why this system is NOT safety-certified</w:t>
      </w:r>
    </w:p>
    <w:p>
      <w:r>
        <w:rPr>
          <w:b w:val="0"/>
          <w:i w:val="0"/>
        </w:rPr>
        <w:t>Safety-critical automotive software requires systematic hazard analysis, requirements traceability, validation on representative data from the intended operating domain, and certification under standards such as ISO 26262 and ISO 21448 (SOTIF). None of this was performed. RoadEye is an educational prototype.</w:t>
      </w:r>
    </w:p>
    <w:p>
      <w:pPr>
        <w:pStyle w:val="Heading2"/>
      </w:pPr>
      <w:r>
        <w:t>Future work</w:t>
      </w:r>
    </w:p>
    <w:p>
      <w:pPr>
        <w:pStyle w:val="ListBullet"/>
        <w:spacing w:after="40"/>
      </w:pPr>
      <w:r>
        <w:t>Add sign detection (sliding window / region proposals) in front of the classifier.</w:t>
      </w:r>
    </w:p>
    <w:p>
      <w:pPr>
        <w:pStyle w:val="ListBullet"/>
        <w:spacing w:after="40"/>
      </w:pPr>
      <w:r>
        <w:t>Higher resolution, colour features (HSV histograms), HOG + colour, PCA, probability calibration.</w:t>
      </w:r>
    </w:p>
    <w:p>
      <w:pPr>
        <w:pStyle w:val="ListBullet"/>
        <w:spacing w:after="40"/>
      </w:pPr>
      <w:r>
        <w:t>Deep learning (CNN) as a comparison - outside the current syllabus scope.</w:t>
      </w:r>
    </w:p>
    <w:p>
      <w:pPr>
        <w:pStyle w:val="ListBullet"/>
        <w:spacing w:after="40"/>
      </w:pPr>
      <w:r>
        <w:t>Evaluate on other datasets/countries, night and weather conditions; calibration and rejection of unknown signs.</w:t>
      </w:r>
    </w:p>
    <w:p>
      <w:pPr>
        <w:pStyle w:val="ListBullet"/>
        <w:spacing w:after="40"/>
      </w:pPr>
      <w:r>
        <w:t>Ensemble methods and error-driven augmentation for the weakest classes.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RoadEye - ML Innovative Assignment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