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8C"/>
          <w:sz w:val="44"/>
        </w:rPr>
        <w:t>RoadEye - Presentation Outline</w:t>
      </w:r>
    </w:p>
    <w:p>
      <w:r>
        <w:rPr>
          <w:color w:val="52514E"/>
          <w:sz w:val="24"/>
        </w:rPr>
        <w:t>Slide-by-slide outline (15 slides)</w:t>
      </w:r>
    </w:p>
    <w:p>
      <w:pPr>
        <w:spacing w:after="0"/>
      </w:pPr>
      <w:r>
        <w:rPr>
          <w:color w:val="52514E"/>
          <w:sz w:val="19"/>
        </w:rPr>
        <w:t>Machine Learning (3CS101CC24) - Nirma University, Institute of Technology - B.Tech CSE, Semester 5</w:t>
      </w:r>
    </w:p>
    <w:p>
      <w:pPr>
        <w:spacing w:after="0"/>
      </w:pPr>
      <w:r>
        <w:rPr>
          <w:color w:val="52514E"/>
          <w:sz w:val="19"/>
        </w:rPr>
        <w:t>Student: [name / roll number - add before submission]</w:t>
      </w:r>
    </w:p>
    <w:p>
      <w:pPr>
        <w:spacing w:after="0"/>
      </w:pPr>
      <w:r>
        <w:rPr>
          <w:color w:val="52514E"/>
          <w:sz w:val="19"/>
        </w:rPr>
        <w:t>Run scope: full_dataset   |   Generated: 2026-10-10</w:t>
      </w:r>
    </w:p>
    <w:p>
      <w:pPr>
        <w:pStyle w:val="Heading2"/>
      </w:pPr>
      <w:r>
        <w:t>Slide 1: Title</w:t>
      </w:r>
    </w:p>
    <w:p>
      <w:pPr>
        <w:pStyle w:val="ListBullet"/>
        <w:spacing w:after="40"/>
      </w:pPr>
      <w:r>
        <w:t>RoadEye - Traffic Sign Recognition using HOG features and SVM</w:t>
      </w:r>
    </w:p>
    <w:p>
      <w:pPr>
        <w:pStyle w:val="ListBullet"/>
        <w:spacing w:after="40"/>
      </w:pPr>
      <w:r>
        <w:t>Machine Learning Innovative Assignment - Nirma University</w:t>
      </w:r>
    </w:p>
    <w:p>
      <w:pPr>
        <w:pStyle w:val="ListBullet"/>
        <w:spacing w:after="40"/>
      </w:pPr>
      <w:r>
        <w:t>[Student name] | [Roll no.] | [Date]</w:t>
      </w:r>
    </w:p>
    <w:p>
      <w:r>
        <w:rPr>
          <w:b w:val="0"/>
          <w:i/>
        </w:rPr>
        <w:t>Speaker note: Introduce the project in one sentence: classical ML pipeline on GTSRB.</w:t>
      </w:r>
    </w:p>
    <w:p>
      <w:pPr>
        <w:pStyle w:val="Heading2"/>
      </w:pPr>
      <w:r>
        <w:t>Slide 2: Problem</w:t>
      </w:r>
    </w:p>
    <w:p>
      <w:pPr>
        <w:pStyle w:val="ListBullet"/>
        <w:spacing w:after="40"/>
      </w:pPr>
      <w:r>
        <w:t>Input: cropped photo of one traffic sign; output: one of 43 classes</w:t>
      </w:r>
    </w:p>
    <w:p>
      <w:pPr>
        <w:pStyle w:val="ListBullet"/>
        <w:spacing w:after="40"/>
      </w:pPr>
      <w:r>
        <w:t>Supervised multiclass image classification</w:t>
      </w:r>
    </w:p>
    <w:p>
      <w:pPr>
        <w:pStyle w:val="ListBullet"/>
        <w:spacing w:after="40"/>
      </w:pPr>
      <w:r>
        <w:t>RQ1: does HOG beat raw pixels?  RQ2: KNN vs Decision Tree vs SVM on the same HOG features?</w:t>
      </w:r>
    </w:p>
    <w:p>
      <w:r>
        <w:rPr>
          <w:b w:val="0"/>
          <w:i/>
        </w:rPr>
        <w:t>Speaker note: State the two research questions clearly - the whole talk answers them.</w:t>
      </w:r>
    </w:p>
    <w:p>
      <w:pPr>
        <w:pStyle w:val="Heading2"/>
      </w:pPr>
      <w:r>
        <w:t>Slide 3: Motivation</w:t>
      </w:r>
    </w:p>
    <w:p>
      <w:pPr>
        <w:pStyle w:val="ListBullet"/>
        <w:spacing w:after="40"/>
      </w:pPr>
      <w:r>
        <w:t>Sign recognition supports driver assistance and road-asset inventories</w:t>
      </w:r>
    </w:p>
    <w:p>
      <w:pPr>
        <w:pStyle w:val="ListBullet"/>
        <w:spacing w:after="40"/>
      </w:pPr>
      <w:r>
        <w:t>Classical ML: cheap, transparent, reproducible - good for studying design decisions</w:t>
      </w:r>
    </w:p>
    <w:p>
      <w:pPr>
        <w:pStyle w:val="ListBullet"/>
        <w:spacing w:after="40"/>
      </w:pPr>
      <w:r>
        <w:t>Not safety-certified: an educational prototype</w:t>
      </w:r>
    </w:p>
    <w:p>
      <w:r>
        <w:rPr>
          <w:b w:val="0"/>
          <w:i/>
        </w:rPr>
        <w:t>Speaker note: Mention scope: no detection, no deep learning.</w:t>
      </w:r>
    </w:p>
    <w:p>
      <w:pPr>
        <w:pStyle w:val="Heading2"/>
      </w:pPr>
      <w:r>
        <w:t>Slide 4: Dataset</w:t>
      </w:r>
    </w:p>
    <w:p>
      <w:pPr>
        <w:pStyle w:val="ListBullet"/>
        <w:spacing w:after="40"/>
      </w:pPr>
      <w:r>
        <w:t>GTSRB (Stallkamp et al., 2012); this run: GTSRB - German Traffic Sign Recognition Benchmark (Final Training + Final Test + Test GT) - run mode: full_dataset</w:t>
      </w:r>
    </w:p>
    <w:p>
      <w:pPr>
        <w:pStyle w:val="ListBullet"/>
        <w:spacing w:after="40"/>
      </w:pPr>
      <w:r>
        <w:t>Images: 51,839; classes: 43; physical signs: 1,307</w:t>
      </w:r>
    </w:p>
    <w:p>
      <w:pPr>
        <w:pStyle w:val="ListBullet"/>
        <w:spacing w:after="40"/>
      </w:pPr>
      <w:r>
        <w:t>~30 frames per physical sign -&gt; group-aware split</w:t>
      </w:r>
    </w:p>
    <w:p>
      <w:r>
        <w:rPr>
          <w:b w:val="0"/>
          <w:i/>
        </w:rPr>
        <w:t>Speaker note: Show class_distribution.png.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472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Suggested visual: class_distribution.png</w:t>
      </w:r>
    </w:p>
    <w:p>
      <w:pPr>
        <w:pStyle w:val="Heading2"/>
      </w:pPr>
      <w:r>
        <w:t>Slide 5: Data preparation</w:t>
      </w:r>
    </w:p>
    <w:p>
      <w:pPr>
        <w:pStyle w:val="ListBullet"/>
        <w:spacing w:after="40"/>
      </w:pPr>
      <w:r>
        <w:t>Cleaned: 51,839 -&gt; 51,839 images (unreadable, label conflicts, exact duplicates removed)</w:t>
      </w:r>
    </w:p>
    <w:p>
      <w:pPr>
        <w:pStyle w:val="ListBullet"/>
        <w:spacing w:after="40"/>
      </w:pPr>
      <w:r>
        <w:t>Official test set held out; train/validation split ~80/20 grouped by sign, seed 42</w:t>
      </w:r>
    </w:p>
    <w:p>
      <w:pPr>
        <w:pStyle w:val="ListBullet"/>
        <w:spacing w:after="40"/>
      </w:pPr>
      <w:r>
        <w:t>Leakage check: True</w:t>
      </w:r>
    </w:p>
    <w:p>
      <w:r>
        <w:rPr>
          <w:b w:val="0"/>
          <w:i/>
        </w:rPr>
        <w:t>Speaker note: Explain why a random split would leak.</w:t>
      </w:r>
    </w:p>
    <w:p>
      <w:pPr>
        <w:pStyle w:val="Heading2"/>
      </w:pPr>
      <w:r>
        <w:t>Slide 6: EDA</w:t>
      </w:r>
    </w:p>
    <w:p>
      <w:pPr>
        <w:pStyle w:val="ListBullet"/>
        <w:spacing w:after="40"/>
      </w:pPr>
      <w:r>
        <w:t>Sizes vary -&gt; resize; lighting varies -&gt; grayscale + HOG normalisation</w:t>
      </w:r>
    </w:p>
    <w:p>
      <w:pPr>
        <w:pStyle w:val="ListBullet"/>
        <w:spacing w:after="40"/>
      </w:pPr>
      <w:r>
        <w:t>Imbalance ratio (train): 12.00</w:t>
      </w:r>
    </w:p>
    <w:p>
      <w:pPr>
        <w:pStyle w:val="ListBullet"/>
        <w:spacing w:after="40"/>
      </w:pPr>
      <w:r>
        <w:t>Similar classes (e.g. speed limits) expected to be confused</w:t>
      </w:r>
    </w:p>
    <w:p>
      <w:r>
        <w:rPr>
          <w:b w:val="0"/>
          <w:i/>
        </w:rPr>
        <w:t>Speaker note: Show eda_similar_classes.png.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659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similar_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59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Suggested visual: eda_similar_classes.png</w:t>
      </w:r>
    </w:p>
    <w:p>
      <w:pPr>
        <w:pStyle w:val="Heading2"/>
      </w:pPr>
      <w:r>
        <w:t>Slide 7: HOG feature engineering</w:t>
      </w:r>
    </w:p>
    <w:p>
      <w:pPr>
        <w:pStyle w:val="ListBullet"/>
        <w:spacing w:after="40"/>
      </w:pPr>
      <w:r>
        <w:t>9 orientations, 4x4 pixels per cell, 2x2 cells per block, L2-Hys block normalisation</w:t>
      </w:r>
    </w:p>
    <w:p>
      <w:pPr>
        <w:pStyle w:val="ListBullet"/>
        <w:spacing w:after="40"/>
      </w:pPr>
      <w:r>
        <w:t>1,764 HOG features vs 1,024 raw pixels</w:t>
      </w:r>
    </w:p>
    <w:p>
      <w:pPr>
        <w:pStyle w:val="ListBullet"/>
        <w:spacing w:after="40"/>
      </w:pPr>
      <w:r>
        <w:t>Scaler fitted on training data only</w:t>
      </w:r>
    </w:p>
    <w:p>
      <w:r>
        <w:rPr>
          <w:b w:val="0"/>
          <w:i/>
        </w:rPr>
        <w:t>Speaker note: Explain cells, orientation histograms, block normalisation.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54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g_visual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5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Suggested visual: hog_visualization.png</w:t>
      </w:r>
    </w:p>
    <w:p>
      <w:pPr>
        <w:pStyle w:val="Heading2"/>
      </w:pPr>
      <w:r>
        <w:t>Slide 8: Baseline</w:t>
      </w:r>
    </w:p>
    <w:p>
      <w:pPr>
        <w:pStyle w:val="ListBullet"/>
        <w:spacing w:after="40"/>
      </w:pPr>
      <w:r>
        <w:t>Raw pixels -&gt; StandardScaler -&gt; RBF SVM</w:t>
      </w:r>
    </w:p>
    <w:p>
      <w:pPr>
        <w:pStyle w:val="ListBullet"/>
        <w:spacing w:after="40"/>
      </w:pPr>
      <w:r>
        <w:t>Validation macro-F1: 0.6550</w:t>
      </w:r>
    </w:p>
    <w:p>
      <w:pPr>
        <w:pStyle w:val="ListBullet"/>
        <w:spacing w:after="40"/>
      </w:pPr>
      <w:r>
        <w:t>Same split and SVM settings as the HOG model</w:t>
      </w:r>
    </w:p>
    <w:p>
      <w:r>
        <w:rPr>
          <w:b w:val="0"/>
          <w:i/>
        </w:rPr>
        <w:t>Speaker note: Why a baseline matters.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8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Suggested visual: baseline_confusion_matrix.png</w:t>
      </w:r>
    </w:p>
    <w:p>
      <w:pPr>
        <w:pStyle w:val="Heading2"/>
      </w:pPr>
      <w:r>
        <w:t>Slide 9: Model comparison</w:t>
      </w:r>
    </w:p>
    <w:p>
      <w:pPr>
        <w:pStyle w:val="ListBullet"/>
        <w:spacing w:after="40"/>
      </w:pPr>
      <w:r>
        <w:t>HOG + KNN / Decision Tree / SVM, validation macro-F1 scores: HOG KNN 0.8842; HOG Decision Tree 0.7603; HOG SVM 0.9361</w:t>
      </w:r>
    </w:p>
    <w:p>
      <w:pPr>
        <w:pStyle w:val="ListBullet"/>
        <w:spacing w:after="40"/>
      </w:pPr>
      <w:r>
        <w:t>Winner (automatic): HOG SVM</w:t>
      </w:r>
    </w:p>
    <w:p>
      <w:r>
        <w:rPr>
          <w:b w:val="0"/>
          <w:i/>
        </w:rPr>
        <w:t>Speaker note: State honestly if SVM did not win.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624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performance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24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Suggested visual: model_performance_comparison.png</w:t>
      </w:r>
    </w:p>
    <w:p>
      <w:pPr>
        <w:pStyle w:val="Heading2"/>
      </w:pPr>
      <w:r>
        <w:t>Slide 10: Hyperparameter tuning</w:t>
      </w:r>
    </w:p>
    <w:p>
      <w:pPr>
        <w:pStyle w:val="ListBullet"/>
        <w:spacing w:after="40"/>
      </w:pPr>
      <w:r>
        <w:t>GridSearchCV, 3-fold StratifiedGroupKFold on training data, scoring macro-F1</w:t>
      </w:r>
    </w:p>
    <w:p>
      <w:pPr>
        <w:pStyle w:val="ListBullet"/>
        <w:spacing w:after="40"/>
      </w:pPr>
      <w:r>
        <w:t>Best parameters: {'C': 10, 'gamma': 'scale', 'kernel': 'rbf'}</w:t>
      </w:r>
    </w:p>
    <w:p>
      <w:pPr>
        <w:pStyle w:val="ListBullet"/>
        <w:spacing w:after="40"/>
      </w:pPr>
      <w:r>
        <w:t>Best CV macro-F1: 0.7768</w:t>
      </w:r>
    </w:p>
    <w:p>
      <w:r>
        <w:rPr>
          <w:b w:val="0"/>
          <w:i/>
        </w:rPr>
        <w:t>Speaker note: Scaler is inside the CV pipeline.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287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search_sv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2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Suggested visual: grid_search_svm.png</w:t>
      </w:r>
    </w:p>
    <w:p>
      <w:pPr>
        <w:pStyle w:val="Heading2"/>
      </w:pPr>
      <w:r>
        <w:t>Slide 11: Final results</w:t>
      </w:r>
    </w:p>
    <w:p>
      <w:pPr>
        <w:pStyle w:val="ListBullet"/>
        <w:spacing w:after="40"/>
      </w:pPr>
      <w:r>
        <w:t>Test accuracy: 0.9408; macro-F1: 0.9256</w:t>
      </w:r>
    </w:p>
    <w:p>
      <w:pPr>
        <w:pStyle w:val="ListBullet"/>
        <w:spacing w:after="40"/>
      </w:pPr>
      <w:r>
        <w:t>RQ1: HOG vs raw macro-F1 difference: +0.2582</w:t>
      </w:r>
    </w:p>
    <w:p>
      <w:pPr>
        <w:pStyle w:val="ListBullet"/>
        <w:spacing w:after="40"/>
      </w:pPr>
      <w:r>
        <w:t>Test set evaluated once, after model selection</w:t>
      </w:r>
    </w:p>
    <w:p>
      <w:r>
        <w:rPr>
          <w:b w:val="0"/>
          <w:i/>
        </w:rPr>
        <w:t>Speaker note: Final confusion matrix.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81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confusion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Suggested visual: final_confusion_matrix.png</w:t>
      </w:r>
    </w:p>
    <w:p>
      <w:pPr>
        <w:pStyle w:val="Heading2"/>
      </w:pPr>
      <w:r>
        <w:t>Slide 12: Error analysis</w:t>
      </w:r>
    </w:p>
    <w:p>
      <w:pPr>
        <w:pStyle w:val="ListBullet"/>
        <w:spacing w:after="40"/>
      </w:pPr>
      <w:r>
        <w:t>748 errors / 12630 test images</w:t>
      </w:r>
    </w:p>
    <w:p>
      <w:pPr>
        <w:pStyle w:val="ListBullet"/>
        <w:spacing w:after="40"/>
      </w:pPr>
      <w:r>
        <w:t>Look-alike classes, small/blurry images, rare classes</w:t>
      </w:r>
    </w:p>
    <w:p>
      <w:pPr>
        <w:pStyle w:val="ListBullet"/>
        <w:spacing w:after="40"/>
      </w:pPr>
      <w:r>
        <w:t>Misclassified examples shown</w:t>
      </w:r>
    </w:p>
    <w:p>
      <w:r>
        <w:rPr>
          <w:b w:val="0"/>
          <w:i/>
        </w:rPr>
        <w:t>Speaker note: Link errors back to the EDA similarity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9224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classified_examp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2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Suggested visual: misclassified_examples.png</w:t>
      </w:r>
    </w:p>
    <w:p>
      <w:pPr>
        <w:pStyle w:val="Heading2"/>
      </w:pPr>
      <w:r>
        <w:t>Slide 13: Streamlit demo</w:t>
      </w:r>
    </w:p>
    <w:p>
      <w:pPr>
        <w:pStyle w:val="ListBullet"/>
        <w:spacing w:after="40"/>
      </w:pPr>
      <w:r>
        <w:t>Upload -&gt; preview -&gt; same preprocessing + HOG -&gt; SVM prediction</w:t>
      </w:r>
    </w:p>
    <w:p>
      <w:pPr>
        <w:pStyle w:val="ListBullet"/>
        <w:spacing w:after="40"/>
      </w:pPr>
      <w:r>
        <w:t>Shows decision scores, not probabilities</w:t>
      </w:r>
    </w:p>
    <w:p>
      <w:pPr>
        <w:pStyle w:val="ListBullet"/>
        <w:spacing w:after="40"/>
      </w:pPr>
      <w:r>
        <w:t>Disclaimer: not safety-certified</w:t>
      </w:r>
    </w:p>
    <w:p>
      <w:r>
        <w:rPr>
          <w:b w:val="0"/>
          <w:i/>
        </w:rPr>
        <w:t>Speaker note: Live demo: streamlit run app/app.py</w:t>
      </w:r>
    </w:p>
    <w:p>
      <w:pPr>
        <w:pStyle w:val="Heading2"/>
      </w:pPr>
      <w:r>
        <w:t>Slide 14: Limitations</w:t>
      </w:r>
    </w:p>
    <w:p>
      <w:pPr>
        <w:pStyle w:val="ListBullet"/>
        <w:spacing w:after="40"/>
      </w:pPr>
      <w:r>
        <w:t>Classifier only (no detection); German signs only; 32x32 loses fine detail</w:t>
      </w:r>
    </w:p>
    <w:p>
      <w:pPr>
        <w:pStyle w:val="ListBullet"/>
        <w:spacing w:after="40"/>
      </w:pPr>
      <w:r>
        <w:t>HOG not rotation/scale invariant; colour discarded</w:t>
      </w:r>
    </w:p>
    <w:p>
      <w:pPr>
        <w:pStyle w:val="ListBullet"/>
        <w:spacing w:after="40"/>
      </w:pPr>
      <w:r>
        <w:t>Not evaluated on video, night or other countries</w:t>
      </w:r>
    </w:p>
    <w:p>
      <w:r>
        <w:rPr>
          <w:b w:val="0"/>
          <w:i/>
        </w:rPr>
        <w:t>Speaker note: Be upfront.</w:t>
      </w:r>
    </w:p>
    <w:p>
      <w:pPr>
        <w:pStyle w:val="Heading2"/>
      </w:pPr>
      <w:r>
        <w:t>Slide 15: Future scope &amp; conclusion</w:t>
      </w:r>
    </w:p>
    <w:p>
      <w:pPr>
        <w:pStyle w:val="ListBullet"/>
        <w:spacing w:after="40"/>
      </w:pPr>
      <w:r>
        <w:t>Detection stage, colour+HOG, PCA, calibration; CNN as future comparison (outside syllabus)</w:t>
      </w:r>
    </w:p>
    <w:p>
      <w:pPr>
        <w:pStyle w:val="ListBullet"/>
        <w:spacing w:after="40"/>
      </w:pPr>
      <w:r>
        <w:t>Answer RQ1 and RQ2 with the measured numbers</w:t>
      </w:r>
    </w:p>
    <w:p>
      <w:pPr>
        <w:pStyle w:val="ListBullet"/>
        <w:spacing w:after="40"/>
      </w:pPr>
      <w:r>
        <w:t>Reproducible pipeline: one command</w:t>
      </w:r>
    </w:p>
    <w:p>
      <w:r>
        <w:rPr>
          <w:b w:val="0"/>
          <w:i/>
        </w:rPr>
        <w:t>Speaker note: Close with the two answers.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6"/>
      </w:rPr>
      <w:t xml:space="preserve">RoadEye - ML Innovative Assignment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