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82BD2B"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575328"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w:t>
      </w:r>
      <w:proofErr w:type="gramStart"/>
      <w:r w:rsidRPr="00673CF5">
        <w:t>Vilches ,</w:t>
      </w:r>
      <w:proofErr w:type="gramEnd"/>
      <w:r w:rsidRPr="00673CF5">
        <w:t xml:space="preserve">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575328" w:rsidP="001753FD">
      <w:r w:rsidRPr="00673CF5">
        <w:t>Dr. Omar Salinas Silva</w:t>
      </w:r>
    </w:p>
    <w:p w14:paraId="1DEC3FEE"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575328" w:rsidP="001753FD">
      <w:hyperlink r:id="rId22" w:history="1">
        <w:r w:rsidR="0001462B" w:rsidRPr="00673CF5">
          <w:rPr>
            <w:rStyle w:val="Hipervnculo"/>
            <w:sz w:val="21"/>
          </w:rPr>
          <w:t>https://github.com/vedurancisterna-alt/Proyecto-generacion-electrica-centrales-CMPC</w:t>
        </w:r>
      </w:hyperlink>
      <w:r w:rsidR="0001462B"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pPr>
            <w:pStyle w:val="TDC1"/>
            <w:tabs>
              <w:tab w:val="right" w:leader="dot" w:pos="10370"/>
            </w:tabs>
          </w:pPr>
          <w:r>
            <w:t>I. Portada e índice</w:t>
          </w:r>
          <w:r>
            <w:tab/>
          </w:r>
          <w:r>
            <w:t>1</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13246A4" w14:textId="088A3ABA"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00640A69" w:rsidRPr="004262A4">
              <w:rPr>
                <w:rStyle w:val="Hipervnculo"/>
                <w:noProof/>
              </w:rPr>
              <w:t>III. Definición de la problemática y objetivos del proyecto</w:t>
            </w:r>
            <w:r w:rsidR="00640A69">
              <w:rPr>
                <w:noProof/>
                <w:webHidden/>
              </w:rPr>
              <w:tab/>
            </w:r>
            <w:r w:rsidR="00640A69">
              <w:rPr>
                <w:noProof/>
                <w:webHidden/>
              </w:rPr>
              <w:fldChar w:fldCharType="begin"/>
            </w:r>
            <w:r w:rsidR="00640A69">
              <w:rPr>
                <w:noProof/>
                <w:webHidden/>
              </w:rPr>
              <w:instrText xml:space="preserve"> PAGEREF _Toc241865063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0CCEB13" w14:textId="061CED5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00640A69" w:rsidRPr="004262A4">
              <w:rPr>
                <w:rStyle w:val="Hipervnculo"/>
                <w:noProof/>
              </w:rPr>
              <w:t>3.1 Problemática y pregunta de investigación</w:t>
            </w:r>
            <w:r w:rsidR="00640A69">
              <w:rPr>
                <w:noProof/>
                <w:webHidden/>
              </w:rPr>
              <w:tab/>
            </w:r>
            <w:r w:rsidR="00640A69">
              <w:rPr>
                <w:noProof/>
                <w:webHidden/>
              </w:rPr>
              <w:fldChar w:fldCharType="begin"/>
            </w:r>
            <w:r w:rsidR="00640A69">
              <w:rPr>
                <w:noProof/>
                <w:webHidden/>
              </w:rPr>
              <w:instrText xml:space="preserve"> PAGEREF _Toc241865064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30632E84" w14:textId="54CCE77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00640A69" w:rsidRPr="004262A4">
              <w:rPr>
                <w:rStyle w:val="Hipervnculo"/>
                <w:noProof/>
              </w:rPr>
              <w:t>3.2 Objetivo general</w:t>
            </w:r>
            <w:r w:rsidR="00640A69">
              <w:rPr>
                <w:noProof/>
                <w:webHidden/>
              </w:rPr>
              <w:tab/>
            </w:r>
            <w:r w:rsidR="00640A69">
              <w:rPr>
                <w:noProof/>
                <w:webHidden/>
              </w:rPr>
              <w:fldChar w:fldCharType="begin"/>
            </w:r>
            <w:r w:rsidR="00640A69">
              <w:rPr>
                <w:noProof/>
                <w:webHidden/>
              </w:rPr>
              <w:instrText xml:space="preserve"> PAGEREF _Toc241865065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7FC4608" w14:textId="3FE1F6E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00640A69" w:rsidRPr="004262A4">
              <w:rPr>
                <w:rStyle w:val="Hipervnculo"/>
                <w:noProof/>
              </w:rPr>
              <w:t>3.3 Objetivos específicos</w:t>
            </w:r>
            <w:r w:rsidR="00640A69">
              <w:rPr>
                <w:noProof/>
                <w:webHidden/>
              </w:rPr>
              <w:tab/>
            </w:r>
            <w:r w:rsidR="00640A69">
              <w:rPr>
                <w:noProof/>
                <w:webHidden/>
              </w:rPr>
              <w:fldChar w:fldCharType="begin"/>
            </w:r>
            <w:r w:rsidR="00640A69">
              <w:rPr>
                <w:noProof/>
                <w:webHidden/>
              </w:rPr>
              <w:instrText xml:space="preserve"> PAGEREF _Toc241865066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54179711" w14:textId="054F3365"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00640A69" w:rsidRPr="004262A4">
              <w:rPr>
                <w:rStyle w:val="Hipervnculo"/>
                <w:noProof/>
              </w:rPr>
              <w:t>3.4 Alcance, restricciones y supuestos</w:t>
            </w:r>
            <w:r w:rsidR="00640A69">
              <w:rPr>
                <w:noProof/>
                <w:webHidden/>
              </w:rPr>
              <w:tab/>
            </w:r>
            <w:r w:rsidR="00640A69">
              <w:rPr>
                <w:noProof/>
                <w:webHidden/>
              </w:rPr>
              <w:fldChar w:fldCharType="begin"/>
            </w:r>
            <w:r w:rsidR="00640A69">
              <w:rPr>
                <w:noProof/>
                <w:webHidden/>
              </w:rPr>
              <w:instrText xml:space="preserve"> PAGEREF _Toc241865067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80B522D" w14:textId="46AA6DB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00640A69" w:rsidRPr="004262A4">
              <w:rPr>
                <w:rStyle w:val="Hipervnculo"/>
                <w:noProof/>
              </w:rPr>
              <w:t>3.5 Articulación con las fases F1–F4</w:t>
            </w:r>
            <w:r w:rsidR="00640A69">
              <w:rPr>
                <w:noProof/>
                <w:webHidden/>
              </w:rPr>
              <w:tab/>
            </w:r>
            <w:r w:rsidR="00640A69">
              <w:rPr>
                <w:noProof/>
                <w:webHidden/>
              </w:rPr>
              <w:fldChar w:fldCharType="begin"/>
            </w:r>
            <w:r w:rsidR="00640A69">
              <w:rPr>
                <w:noProof/>
                <w:webHidden/>
              </w:rPr>
              <w:instrText xml:space="preserve"> PAGEREF _Toc241865068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55C4A82" w14:textId="1561333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00640A69" w:rsidRPr="004262A4">
              <w:rPr>
                <w:rStyle w:val="Hipervnculo"/>
                <w:noProof/>
              </w:rPr>
              <w:t>IV. Aplicación de herramientas científicas</w:t>
            </w:r>
            <w:r w:rsidR="00640A69">
              <w:rPr>
                <w:noProof/>
                <w:webHidden/>
              </w:rPr>
              <w:tab/>
            </w:r>
            <w:r w:rsidR="00640A69">
              <w:rPr>
                <w:noProof/>
                <w:webHidden/>
              </w:rPr>
              <w:fldChar w:fldCharType="begin"/>
            </w:r>
            <w:r w:rsidR="00640A69">
              <w:rPr>
                <w:noProof/>
                <w:webHidden/>
              </w:rPr>
              <w:instrText xml:space="preserve"> PAGEREF _Toc241865069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0A345FA" w14:textId="2469E9D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00640A69" w:rsidRPr="004262A4">
              <w:rPr>
                <w:rStyle w:val="Hipervnculo"/>
                <w:noProof/>
              </w:rPr>
              <w:t>a. Reproducibilidad técnica</w:t>
            </w:r>
            <w:r w:rsidR="00640A69">
              <w:rPr>
                <w:noProof/>
                <w:webHidden/>
              </w:rPr>
              <w:tab/>
            </w:r>
            <w:r w:rsidR="00640A69">
              <w:rPr>
                <w:noProof/>
                <w:webHidden/>
              </w:rPr>
              <w:fldChar w:fldCharType="begin"/>
            </w:r>
            <w:r w:rsidR="00640A69">
              <w:rPr>
                <w:noProof/>
                <w:webHidden/>
              </w:rPr>
              <w:instrText xml:space="preserve"> PAGEREF _Toc241865070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2C05F1D" w14:textId="4DFAA8C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00640A69" w:rsidRPr="004262A4">
              <w:rPr>
                <w:rStyle w:val="Hipervnculo"/>
                <w:noProof/>
              </w:rPr>
              <w:t>b. Control de versiones</w:t>
            </w:r>
            <w:r w:rsidR="00640A69">
              <w:rPr>
                <w:noProof/>
                <w:webHidden/>
              </w:rPr>
              <w:tab/>
            </w:r>
            <w:r w:rsidR="00640A69">
              <w:rPr>
                <w:noProof/>
                <w:webHidden/>
              </w:rPr>
              <w:fldChar w:fldCharType="begin"/>
            </w:r>
            <w:r w:rsidR="00640A69">
              <w:rPr>
                <w:noProof/>
                <w:webHidden/>
              </w:rPr>
              <w:instrText xml:space="preserve"> PAGEREF _Toc241865071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490DA677" w14:textId="716B9171"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00640A69" w:rsidRPr="004262A4">
              <w:rPr>
                <w:rStyle w:val="Hipervnculo"/>
                <w:noProof/>
              </w:rPr>
              <w:t>c. Documentación del proceso</w:t>
            </w:r>
            <w:r w:rsidR="00640A69">
              <w:rPr>
                <w:noProof/>
                <w:webHidden/>
              </w:rPr>
              <w:tab/>
            </w:r>
            <w:r w:rsidR="00640A69">
              <w:rPr>
                <w:noProof/>
                <w:webHidden/>
              </w:rPr>
              <w:fldChar w:fldCharType="begin"/>
            </w:r>
            <w:r w:rsidR="00640A69">
              <w:rPr>
                <w:noProof/>
                <w:webHidden/>
              </w:rPr>
              <w:instrText xml:space="preserve"> PAGEREF _Toc241865072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2BB7EF49" w14:textId="089F8D3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00640A69" w:rsidRPr="004262A4">
              <w:rPr>
                <w:rStyle w:val="Hipervnculo"/>
                <w:noProof/>
              </w:rPr>
              <w:t>d. Repositorio GitHub actualizado</w:t>
            </w:r>
            <w:r w:rsidR="00640A69">
              <w:rPr>
                <w:noProof/>
                <w:webHidden/>
              </w:rPr>
              <w:tab/>
            </w:r>
            <w:r w:rsidR="00640A69">
              <w:rPr>
                <w:noProof/>
                <w:webHidden/>
              </w:rPr>
              <w:fldChar w:fldCharType="begin"/>
            </w:r>
            <w:r w:rsidR="00640A69">
              <w:rPr>
                <w:noProof/>
                <w:webHidden/>
              </w:rPr>
              <w:instrText xml:space="preserve"> PAGEREF _Toc241865073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A638502" w14:textId="6631469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00640A69" w:rsidRPr="004262A4">
              <w:rPr>
                <w:rStyle w:val="Hipervnculo"/>
                <w:noProof/>
              </w:rPr>
              <w:t>V. Diseño de soluciones algorítmicas eficientes</w:t>
            </w:r>
            <w:r w:rsidR="00640A69">
              <w:rPr>
                <w:noProof/>
                <w:webHidden/>
              </w:rPr>
              <w:tab/>
            </w:r>
            <w:r w:rsidR="00640A69">
              <w:rPr>
                <w:noProof/>
                <w:webHidden/>
              </w:rPr>
              <w:fldChar w:fldCharType="begin"/>
            </w:r>
            <w:r w:rsidR="00640A69">
              <w:rPr>
                <w:noProof/>
                <w:webHidden/>
              </w:rPr>
              <w:instrText xml:space="preserve"> PAGEREF _Toc241865074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6F26E1F" w14:textId="0CBF48D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00640A69" w:rsidRPr="004262A4">
              <w:rPr>
                <w:rStyle w:val="Hipervnculo"/>
                <w:noProof/>
              </w:rPr>
              <w:t>a. Codificación funcional</w:t>
            </w:r>
            <w:r w:rsidR="00640A69">
              <w:rPr>
                <w:noProof/>
                <w:webHidden/>
              </w:rPr>
              <w:tab/>
            </w:r>
            <w:r w:rsidR="00640A69">
              <w:rPr>
                <w:noProof/>
                <w:webHidden/>
              </w:rPr>
              <w:fldChar w:fldCharType="begin"/>
            </w:r>
            <w:r w:rsidR="00640A69">
              <w:rPr>
                <w:noProof/>
                <w:webHidden/>
              </w:rPr>
              <w:instrText xml:space="preserve"> PAGEREF _Toc241865075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D7797A4" w14:textId="709ACEDA"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00640A69" w:rsidRPr="004262A4">
              <w:rPr>
                <w:rStyle w:val="Hipervnculo"/>
                <w:noProof/>
              </w:rPr>
              <w:t>b. Preprocesamiento y transformación del dataset</w:t>
            </w:r>
            <w:r w:rsidR="00640A69">
              <w:rPr>
                <w:noProof/>
                <w:webHidden/>
              </w:rPr>
              <w:tab/>
            </w:r>
            <w:r w:rsidR="00640A69">
              <w:rPr>
                <w:noProof/>
                <w:webHidden/>
              </w:rPr>
              <w:fldChar w:fldCharType="begin"/>
            </w:r>
            <w:r w:rsidR="00640A69">
              <w:rPr>
                <w:noProof/>
                <w:webHidden/>
              </w:rPr>
              <w:instrText xml:space="preserve"> PAGEREF _Toc241865076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0015C7F" w14:textId="26A8C3F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00640A69" w:rsidRPr="004262A4">
              <w:rPr>
                <w:rStyle w:val="Hipervnculo"/>
                <w:noProof/>
              </w:rPr>
              <w:t>c. Validación técnica y verificación del código</w:t>
            </w:r>
            <w:r w:rsidR="00640A69">
              <w:rPr>
                <w:noProof/>
                <w:webHidden/>
              </w:rPr>
              <w:tab/>
            </w:r>
            <w:r w:rsidR="00640A69">
              <w:rPr>
                <w:noProof/>
                <w:webHidden/>
              </w:rPr>
              <w:fldChar w:fldCharType="begin"/>
            </w:r>
            <w:r w:rsidR="00640A69">
              <w:rPr>
                <w:noProof/>
                <w:webHidden/>
              </w:rPr>
              <w:instrText xml:space="preserve"> PAGEREF _Toc241865077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F465FF4" w14:textId="4893494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00640A69" w:rsidRPr="004262A4">
              <w:rPr>
                <w:rStyle w:val="Hipervnculo"/>
                <w:noProof/>
              </w:rPr>
              <w:t>d. Eficiencia y optimización</w:t>
            </w:r>
            <w:r w:rsidR="00640A69">
              <w:rPr>
                <w:noProof/>
                <w:webHidden/>
              </w:rPr>
              <w:tab/>
            </w:r>
            <w:r w:rsidR="00640A69">
              <w:rPr>
                <w:noProof/>
                <w:webHidden/>
              </w:rPr>
              <w:fldChar w:fldCharType="begin"/>
            </w:r>
            <w:r w:rsidR="00640A69">
              <w:rPr>
                <w:noProof/>
                <w:webHidden/>
              </w:rPr>
              <w:instrText xml:space="preserve"> PAGEREF _Toc241865078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9DC2287" w14:textId="36B53E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00640A69" w:rsidRPr="004262A4">
              <w:rPr>
                <w:rStyle w:val="Hipervnculo"/>
                <w:noProof/>
              </w:rPr>
              <w:t>e. Diseño estructurado del código</w:t>
            </w:r>
            <w:r w:rsidR="00640A69">
              <w:rPr>
                <w:noProof/>
                <w:webHidden/>
              </w:rPr>
              <w:tab/>
            </w:r>
            <w:r w:rsidR="00640A69">
              <w:rPr>
                <w:noProof/>
                <w:webHidden/>
              </w:rPr>
              <w:fldChar w:fldCharType="begin"/>
            </w:r>
            <w:r w:rsidR="00640A69">
              <w:rPr>
                <w:noProof/>
                <w:webHidden/>
              </w:rPr>
              <w:instrText xml:space="preserve"> PAGEREF _Toc241865079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1D257DDF" w14:textId="7678C90F"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00640A69" w:rsidRPr="004262A4">
              <w:rPr>
                <w:rStyle w:val="Hipervnculo"/>
                <w:noProof/>
              </w:rPr>
              <w:t>f. Notebook final ejecutado y documentado</w:t>
            </w:r>
            <w:r w:rsidR="00640A69">
              <w:rPr>
                <w:noProof/>
                <w:webHidden/>
              </w:rPr>
              <w:tab/>
            </w:r>
            <w:r w:rsidR="00640A69">
              <w:rPr>
                <w:noProof/>
                <w:webHidden/>
              </w:rPr>
              <w:fldChar w:fldCharType="begin"/>
            </w:r>
            <w:r w:rsidR="00640A69">
              <w:rPr>
                <w:noProof/>
                <w:webHidden/>
              </w:rPr>
              <w:instrText xml:space="preserve"> PAGEREF _Toc241865080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25A8BE9" w14:textId="5AD1919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00640A69" w:rsidRPr="004262A4">
              <w:rPr>
                <w:rStyle w:val="Hipervnculo"/>
                <w:noProof/>
              </w:rPr>
              <w:t>VI. Implementación de código modular y robusto</w:t>
            </w:r>
            <w:r w:rsidR="00640A69">
              <w:rPr>
                <w:noProof/>
                <w:webHidden/>
              </w:rPr>
              <w:tab/>
            </w:r>
            <w:r w:rsidR="00640A69">
              <w:rPr>
                <w:noProof/>
                <w:webHidden/>
              </w:rPr>
              <w:fldChar w:fldCharType="begin"/>
            </w:r>
            <w:r w:rsidR="00640A69">
              <w:rPr>
                <w:noProof/>
                <w:webHidden/>
              </w:rPr>
              <w:instrText xml:space="preserve"> PAGEREF _Toc241865081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B63074" w14:textId="6DADECA4"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00640A69" w:rsidRPr="004262A4">
              <w:rPr>
                <w:rStyle w:val="Hipervnculo"/>
                <w:noProof/>
              </w:rPr>
              <w:t>a. Programación orientada a objetos</w:t>
            </w:r>
            <w:r w:rsidR="00640A69">
              <w:rPr>
                <w:noProof/>
                <w:webHidden/>
              </w:rPr>
              <w:tab/>
            </w:r>
            <w:r w:rsidR="00640A69">
              <w:rPr>
                <w:noProof/>
                <w:webHidden/>
              </w:rPr>
              <w:fldChar w:fldCharType="begin"/>
            </w:r>
            <w:r w:rsidR="00640A69">
              <w:rPr>
                <w:noProof/>
                <w:webHidden/>
              </w:rPr>
              <w:instrText xml:space="preserve"> PAGEREF _Toc241865082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366D9E92" w14:textId="207C8AB9"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00640A69" w:rsidRPr="004262A4">
              <w:rPr>
                <w:rStyle w:val="Hipervnculo"/>
                <w:noProof/>
              </w:rPr>
              <w:t>b. Documentación de arquitectura</w:t>
            </w:r>
            <w:r w:rsidR="00640A69">
              <w:rPr>
                <w:noProof/>
                <w:webHidden/>
              </w:rPr>
              <w:tab/>
            </w:r>
            <w:r w:rsidR="00640A69">
              <w:rPr>
                <w:noProof/>
                <w:webHidden/>
              </w:rPr>
              <w:fldChar w:fldCharType="begin"/>
            </w:r>
            <w:r w:rsidR="00640A69">
              <w:rPr>
                <w:noProof/>
                <w:webHidden/>
              </w:rPr>
              <w:instrText xml:space="preserve"> PAGEREF _Toc241865083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690502" w14:textId="6685135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00640A69" w:rsidRPr="004262A4">
              <w:rPr>
                <w:rStyle w:val="Hipervnculo"/>
                <w:noProof/>
              </w:rPr>
              <w:t>VII. Construcción de visualizaciones de datos efectivas</w:t>
            </w:r>
            <w:r w:rsidR="00640A69">
              <w:rPr>
                <w:noProof/>
                <w:webHidden/>
              </w:rPr>
              <w:tab/>
            </w:r>
            <w:r w:rsidR="00640A69">
              <w:rPr>
                <w:noProof/>
                <w:webHidden/>
              </w:rPr>
              <w:fldChar w:fldCharType="begin"/>
            </w:r>
            <w:r w:rsidR="00640A69">
              <w:rPr>
                <w:noProof/>
                <w:webHidden/>
              </w:rPr>
              <w:instrText xml:space="preserve"> PAGEREF _Toc241865084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25F1D985" w14:textId="2F22F50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00640A69" w:rsidRPr="004262A4">
              <w:rPr>
                <w:rStyle w:val="Hipervnculo"/>
                <w:noProof/>
              </w:rPr>
              <w:t>a. Preprocesamiento y transformación de datos</w:t>
            </w:r>
            <w:r w:rsidR="00640A69">
              <w:rPr>
                <w:noProof/>
                <w:webHidden/>
              </w:rPr>
              <w:tab/>
            </w:r>
            <w:r w:rsidR="00640A69">
              <w:rPr>
                <w:noProof/>
                <w:webHidden/>
              </w:rPr>
              <w:fldChar w:fldCharType="begin"/>
            </w:r>
            <w:r w:rsidR="00640A69">
              <w:rPr>
                <w:noProof/>
                <w:webHidden/>
              </w:rPr>
              <w:instrText xml:space="preserve"> PAGEREF _Toc241865085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4A329B35" w14:textId="73A358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00640A69" w:rsidRPr="004262A4">
              <w:rPr>
                <w:rStyle w:val="Hipervnculo"/>
                <w:noProof/>
              </w:rPr>
              <w:t>b. Visualizaciones analíticas</w:t>
            </w:r>
            <w:r w:rsidR="00640A69">
              <w:rPr>
                <w:noProof/>
                <w:webHidden/>
              </w:rPr>
              <w:tab/>
            </w:r>
            <w:r w:rsidR="00640A69">
              <w:rPr>
                <w:noProof/>
                <w:webHidden/>
              </w:rPr>
              <w:fldChar w:fldCharType="begin"/>
            </w:r>
            <w:r w:rsidR="00640A69">
              <w:rPr>
                <w:noProof/>
                <w:webHidden/>
              </w:rPr>
              <w:instrText xml:space="preserve"> PAGEREF _Toc241865086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12791C92" w14:textId="7FCD8E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00640A69" w:rsidRPr="004262A4">
              <w:rPr>
                <w:rStyle w:val="Hipervnculo"/>
                <w:noProof/>
              </w:rPr>
              <w:t>VIII. Metodología del desarrollo técnico</w:t>
            </w:r>
            <w:r w:rsidR="00640A69">
              <w:rPr>
                <w:noProof/>
                <w:webHidden/>
              </w:rPr>
              <w:tab/>
            </w:r>
            <w:r w:rsidR="00640A69">
              <w:rPr>
                <w:noProof/>
                <w:webHidden/>
              </w:rPr>
              <w:fldChar w:fldCharType="begin"/>
            </w:r>
            <w:r w:rsidR="00640A69">
              <w:rPr>
                <w:noProof/>
                <w:webHidden/>
              </w:rPr>
              <w:instrText xml:space="preserve"> PAGEREF _Toc241865087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4B49B81F" w14:textId="3C9A2EF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00640A69" w:rsidRPr="004262A4">
              <w:rPr>
                <w:rStyle w:val="Hipervnculo"/>
                <w:noProof/>
              </w:rPr>
              <w:t>a. Validación y reflexión técnica</w:t>
            </w:r>
            <w:r w:rsidR="00640A69">
              <w:rPr>
                <w:noProof/>
                <w:webHidden/>
              </w:rPr>
              <w:tab/>
            </w:r>
            <w:r w:rsidR="00640A69">
              <w:rPr>
                <w:noProof/>
                <w:webHidden/>
              </w:rPr>
              <w:fldChar w:fldCharType="begin"/>
            </w:r>
            <w:r w:rsidR="00640A69">
              <w:rPr>
                <w:noProof/>
                <w:webHidden/>
              </w:rPr>
              <w:instrText xml:space="preserve"> PAGEREF _Toc241865088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6629681C" w14:textId="41DB1D8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00640A69" w:rsidRPr="004262A4">
              <w:rPr>
                <w:rStyle w:val="Hipervnculo"/>
                <w:noProof/>
              </w:rPr>
              <w:t>b. Resultados</w:t>
            </w:r>
            <w:r w:rsidR="00640A69">
              <w:rPr>
                <w:noProof/>
                <w:webHidden/>
              </w:rPr>
              <w:tab/>
            </w:r>
            <w:r w:rsidR="00640A69">
              <w:rPr>
                <w:noProof/>
                <w:webHidden/>
              </w:rPr>
              <w:fldChar w:fldCharType="begin"/>
            </w:r>
            <w:r w:rsidR="00640A69">
              <w:rPr>
                <w:noProof/>
                <w:webHidden/>
              </w:rPr>
              <w:instrText xml:space="preserve"> PAGEREF _Toc241865089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5D8BD4C2" w14:textId="1C02BAAC"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00640A69" w:rsidRPr="004262A4">
              <w:rPr>
                <w:rStyle w:val="Hipervnculo"/>
                <w:noProof/>
              </w:rPr>
              <w:t>c. Discusión</w:t>
            </w:r>
            <w:r w:rsidR="00640A69">
              <w:rPr>
                <w:noProof/>
                <w:webHidden/>
              </w:rPr>
              <w:tab/>
            </w:r>
            <w:r w:rsidR="00640A69">
              <w:rPr>
                <w:noProof/>
                <w:webHidden/>
              </w:rPr>
              <w:fldChar w:fldCharType="begin"/>
            </w:r>
            <w:r w:rsidR="00640A69">
              <w:rPr>
                <w:noProof/>
                <w:webHidden/>
              </w:rPr>
              <w:instrText xml:space="preserve"> PAGEREF _Toc241865090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586E0778" w14:textId="7A6BB66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00640A69" w:rsidRPr="004262A4">
              <w:rPr>
                <w:rStyle w:val="Hipervnculo"/>
                <w:noProof/>
              </w:rPr>
              <w:t>d. Conclusiones</w:t>
            </w:r>
            <w:r w:rsidR="00640A69">
              <w:rPr>
                <w:noProof/>
                <w:webHidden/>
              </w:rPr>
              <w:tab/>
            </w:r>
            <w:r w:rsidR="00640A69">
              <w:rPr>
                <w:noProof/>
                <w:webHidden/>
              </w:rPr>
              <w:fldChar w:fldCharType="begin"/>
            </w:r>
            <w:r w:rsidR="00640A69">
              <w:rPr>
                <w:noProof/>
                <w:webHidden/>
              </w:rPr>
              <w:instrText xml:space="preserve"> PAGEREF _Toc241865091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10215D24" w14:textId="3C365EA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00640A69" w:rsidRPr="004262A4">
              <w:rPr>
                <w:rStyle w:val="Hipervnculo"/>
                <w:noProof/>
              </w:rPr>
              <w:t>e. Trazabilidad de mejoras</w:t>
            </w:r>
            <w:r w:rsidR="00640A69">
              <w:rPr>
                <w:noProof/>
                <w:webHidden/>
              </w:rPr>
              <w:tab/>
            </w:r>
            <w:r w:rsidR="00640A69">
              <w:rPr>
                <w:noProof/>
                <w:webHidden/>
              </w:rPr>
              <w:fldChar w:fldCharType="begin"/>
            </w:r>
            <w:r w:rsidR="00640A69">
              <w:rPr>
                <w:noProof/>
                <w:webHidden/>
              </w:rPr>
              <w:instrText xml:space="preserve"> PAGEREF _Toc241865092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6AFED9AF" w14:textId="3C2E7B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00640A69" w:rsidRPr="004262A4">
              <w:rPr>
                <w:rStyle w:val="Hipervnculo"/>
                <w:noProof/>
              </w:rPr>
              <w:t>IX. Presentación Audiovisual</w:t>
            </w:r>
            <w:r w:rsidR="00640A69">
              <w:rPr>
                <w:noProof/>
                <w:webHidden/>
              </w:rPr>
              <w:tab/>
            </w:r>
            <w:r w:rsidR="00640A69">
              <w:rPr>
                <w:noProof/>
                <w:webHidden/>
              </w:rPr>
              <w:fldChar w:fldCharType="begin"/>
            </w:r>
            <w:r w:rsidR="00640A69">
              <w:rPr>
                <w:noProof/>
                <w:webHidden/>
              </w:rPr>
              <w:instrText xml:space="preserve"> PAGEREF _Toc241865093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4DF203D6" w14:textId="04575EE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00640A69" w:rsidRPr="004262A4">
              <w:rPr>
                <w:rStyle w:val="Hipervnculo"/>
                <w:noProof/>
              </w:rPr>
              <w:t>X. Bibliografía</w:t>
            </w:r>
            <w:r w:rsidR="00640A69">
              <w:rPr>
                <w:noProof/>
                <w:webHidden/>
              </w:rPr>
              <w:tab/>
            </w:r>
            <w:r w:rsidR="00640A69">
              <w:rPr>
                <w:noProof/>
                <w:webHidden/>
              </w:rPr>
              <w:fldChar w:fldCharType="begin"/>
            </w:r>
            <w:r w:rsidR="00640A69">
              <w:rPr>
                <w:noProof/>
                <w:webHidden/>
              </w:rPr>
              <w:instrText xml:space="preserve"> PAGEREF _Toc241865094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004C99AC" w14:textId="70FD59DF" w:rsidR="00940530" w:rsidRPr="00673CF5" w:rsidRDefault="00575328" w:rsidP="001753FD">
      <w:pPr>
        <w:pStyle w:val="Ttulo1"/>
      </w:pPr>
      <w:bookmarkStart w:id="0" w:name="_Toc241865062"/>
      <w:r w:rsidRPr="00673CF5">
        <w:lastRenderedPageBreak/>
        <w:t>II. Introducción y contextualización</w:t>
      </w:r>
      <w:bookmarkEnd w:id="0"/>
    </w:p>
    <w:p w14:paraId="15B019C1"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w:t>
      </w:r>
      <w:r w:rsidRPr="00673CF5">
        <w:t xml:space="preserve"> durante el período enero-agosto de 2026. El propósito es caracterizar cómo varía la generación eléctrica en el tiempo, identificar patrones horarios y mensuales y comparar el comportamiento observado entre las tres centrales. La información utilizada prov</w:t>
      </w:r>
      <w:r w:rsidRPr="00673CF5">
        <w:t>iene de una fuente oficial y se interpreta de acuerdo con el diccionario de datos del Sistema de Información Pública del CEN (Coordinador Eléctrico Nacional, 2022; 2026).</w:t>
      </w:r>
    </w:p>
    <w:p w14:paraId="1FD8B26B" w14:textId="77777777" w:rsidR="00940530" w:rsidRPr="00673CF5" w:rsidRDefault="00575328" w:rsidP="001753FD">
      <w:r w:rsidRPr="00673CF5">
        <w:t>La necesidad técnica del proyecto surge de la estructura y volumen de los registros.</w:t>
      </w:r>
      <w:r w:rsidRPr="00673CF5">
        <w:t xml:space="preserve"> La fuente original contiene 359.891 filas y 33 columnas, mientras que el subconjunto definido para el estudio corresponde a 729 registros en formato ancho. Para facilitar el análisis temporal, los datos fueron transformados a formato largo, obteniéndose u</w:t>
      </w:r>
      <w:r w:rsidRPr="00673CF5">
        <w:t xml:space="preserve">n </w:t>
      </w:r>
      <w:proofErr w:type="spellStart"/>
      <w:r w:rsidRPr="00673CF5">
        <w:t>dataset</w:t>
      </w:r>
      <w:proofErr w:type="spellEnd"/>
      <w:r w:rsidRPr="00673CF5">
        <w:t xml:space="preserve"> analítico de 17.496 observaciones y 13 variables, donde cada fila representa una combinación de central, fecha y hora. Este proceso exige programación para automatizar la preparación, validación y análisis de los datos de manera reproducible.</w:t>
      </w:r>
    </w:p>
    <w:p>
      <w:pPr>
        <w:ind w:left="0" w:firstLine="567"/>
      </w:pPr>
      <w:r>
        <w:rPr/>
        <w:t xml:space="preserve">La relevancia del análisis es práctica: quienes operan estas plantas de cogeneración o analizan la inyección de excedentes al Sistema Eléctrico Nacional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688D2D2B" w14:textId="77777777" w:rsidR="00940530" w:rsidRPr="00673CF5" w:rsidRDefault="00575328" w:rsidP="0015658B">
      <w:pPr>
        <w:pStyle w:val="Ttulo1"/>
      </w:pPr>
      <w:bookmarkStart w:id="1" w:name="_Toc241865063"/>
      <w:r w:rsidRPr="00673CF5">
        <w:t>III. Definición de la problemática y objetivos del proyecto</w:t>
      </w:r>
      <w:bookmarkEnd w:id="1"/>
    </w:p>
    <w:p w14:paraId="0B0AC6A2" w14:textId="77777777" w:rsidR="00940530" w:rsidRPr="00673CF5" w:rsidRDefault="00575328" w:rsidP="001753FD">
      <w:pPr>
        <w:pStyle w:val="Ttulo2"/>
      </w:pPr>
      <w:bookmarkStart w:id="2" w:name="_Toc241865064"/>
      <w:r w:rsidRPr="00673CF5">
        <w:t>3.1 Problemática y pregunta de investigación</w:t>
      </w:r>
      <w:bookmarkEnd w:id="2"/>
    </w:p>
    <w:p w14:paraId="038B8F1C" w14:textId="1BFDCF49" w:rsidR="00D24436" w:rsidRDefault="00575328" w:rsidP="00D24436">
      <w:r w:rsidRPr="00673CF5">
        <w:t>La problemática consiste en describir y comparar el comportamiento temporal de la generación eléctrica registrada por las ce</w:t>
      </w:r>
      <w:r w:rsidRPr="00673CF5">
        <w:t xml:space="preserve">ntrales seleccionadas, utilizando exclusivamente la evidencia disponible en los datos públicos del CEN. La pregunta que guía el análisis se mantiene sin cambios desde la Fase 1: ¿Qué patrones temporales de generación eléctrica caracterizan a las centrales </w:t>
      </w:r>
      <w:r w:rsidRPr="00673CF5">
        <w:t>TER CMPC Laja, TER CMPC Pacífico y TER CMPC Santa Fe durante el período enero-agosto de 2026?</w:t>
      </w:r>
    </w:p>
    <w:p w14:paraId="702FB9CD"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 xml:space="preserve">La selección de TER CMPC Laja, TER CMPC Pacífico y TER CMPC Santa Fe responde a que conforman el conjunto de centrales termoeléctricas de cogeneración a biomasa de CMPC </w:t>
      </w:r>
      <w:proofErr w:type="spellStart"/>
      <w:r>
        <w:rPr>
          <w:rStyle w:val="normaltextrun"/>
          <w:rFonts w:ascii="Arial" w:hAnsi="Arial" w:cs="Arial"/>
          <w:sz w:val="22"/>
          <w:szCs w:val="22"/>
        </w:rPr>
        <w:t>Pulp</w:t>
      </w:r>
      <w:proofErr w:type="spellEnd"/>
      <w:r>
        <w:rPr>
          <w:rStyle w:val="normaltextrun"/>
          <w:rFonts w:ascii="Arial" w:hAnsi="Arial" w:cs="Arial"/>
          <w:sz w:val="22"/>
          <w:szCs w:val="22"/>
        </w:rPr>
        <w:t xml:space="preserve"> S.A. Estas plantas generan energía principalmente para autoabastecer sus propios procesos de celulosa según su programación interna, y comercializan los excedentes inyectándolos al Sistema Eléctrico Nacional. Trabajar con estas centrales permite observar de manera controlada el comportamiento de los datos de generación real de excedentes e identificar posibles patrones temporales o variaciones de interés.</w:t>
      </w:r>
    </w:p>
    <w:p w14:paraId="530F7E5E" w14:textId="7C0168EC" w:rsidR="00940530" w:rsidRPr="00673CF5" w:rsidRDefault="00575328" w:rsidP="001753FD">
      <w:pPr>
        <w:pStyle w:val="Ttulo2"/>
      </w:pPr>
      <w:bookmarkStart w:id="4" w:name="_Toc241865065"/>
      <w:r w:rsidRPr="00673CF5">
        <w:lastRenderedPageBreak/>
        <w:t>3.2 Objetivo general</w:t>
      </w:r>
      <w:bookmarkEnd w:id="4"/>
    </w:p>
    <w:p w14:paraId="146FAD4C" w14:textId="77777777" w:rsidR="00940530" w:rsidRPr="00673CF5" w:rsidRDefault="00575328" w:rsidP="001753FD">
      <w:r w:rsidRPr="00673CF5">
        <w:t xml:space="preserve">Caracterizar los patrones temporales de generación eléctrica de las centrales TER CMPC Laja, TER CMPC Pacífico y TER </w:t>
      </w:r>
      <w:r w:rsidRPr="00673CF5">
        <w:t>CMPC Santa Fe durante enero-agosto de 2026, utilizando datos públicos del Coordinador Eléctrico Nacional mediante un proceso reproducible de preparación, validación y análisis.</w:t>
      </w:r>
    </w:p>
    <w:p w14:paraId="1B580B96" w14:textId="77777777" w:rsidR="00940530" w:rsidRPr="00673CF5" w:rsidRDefault="00575328" w:rsidP="001753FD">
      <w:pPr>
        <w:pStyle w:val="Ttulo2"/>
      </w:pPr>
      <w:bookmarkStart w:id="5" w:name="_Toc241865066"/>
      <w:r w:rsidRPr="00673CF5">
        <w:t>3.3 Objetivos específicos</w:t>
      </w:r>
      <w:bookmarkEnd w:id="5"/>
    </w:p>
    <w:p w14:paraId="1BC13E34" w14:textId="4BFCDC6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w:t>
      </w:r>
      <w:r w:rsidRPr="00673CF5">
        <w:rPr>
          <w:rFonts w:eastAsia="Arial"/>
          <w:lang w:val="es-CL"/>
        </w:rPr>
        <w:t>l de la generación eléctrica de las tres centrales.</w:t>
      </w:r>
    </w:p>
    <w:p w14:paraId="5F7C1A05" w14:textId="1E16B193"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w:t>
      </w:r>
      <w:r w:rsidRPr="00673CF5">
        <w:rPr>
          <w:rFonts w:eastAsia="Arial"/>
          <w:lang w:val="es-CL"/>
        </w:rPr>
        <w:t xml:space="preserve"> atribuirles causas operacionales que no estén respaldadas por la fuente.</w:t>
      </w:r>
    </w:p>
    <w:p w14:paraId="730CEB14" w14:textId="0F78824F"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575328" w:rsidP="001753FD">
      <w:pPr>
        <w:pStyle w:val="Ttulo2"/>
      </w:pPr>
      <w:bookmarkStart w:id="6" w:name="_Toc241865067"/>
      <w:r w:rsidRPr="00673CF5">
        <w:t>3.4 Alcance, restricciones y supuestos</w:t>
      </w:r>
      <w:bookmarkEnd w:id="6"/>
    </w:p>
    <w:p>
      <w:pPr>
        <w:pStyle w:val="F4Body"/>
        <w:numPr>
          <w:ilvl w:val="0"/>
          <w:numId w:val="12"/>
        </w:numPr>
        <w:spacing w:after="60"/>
      </w:pPr>
      <w:r>
        <w:rPr>
          <w:b/>
        </w:rPr>
        <w:t xml:space="preserve">Alcance.</w:t>
      </w:r>
      <w:r>
        <w:rPr/>
        <w:t xml:space="preserve"> Tres centrales (Laja, Pacífico y Santa Fe), del 1 de enero al 31 de agosto de 2026, con análisis descriptivo de patrones horarios, diarios y mensuales y de los registros de 0 MWh. No incluye otras centrales, pronósticos ni causas operacionales.</w:t>
      </w:r>
    </w:p>
    <w:p>
      <w:pPr>
        <w:pStyle w:val="F4Body"/>
        <w:numPr>
          <w:ilvl w:val="0"/>
          <w:numId w:val="12"/>
        </w:numPr>
        <w:spacing w:after="60"/>
      </w:pPr>
      <w:r>
        <w:rPr>
          <w:b/>
        </w:rPr>
        <w:t xml:space="preserve">Restricciones.</w:t>
      </w:r>
      <w:r>
        <w:rPr/>
        <w:t xml:space="preserve"> Solo datos públicos de Generación Real del CEN en MWh, un período de ocho meses (sin estacionalidad anual) y sin información operacional (programación interna, mantenimientos).</w:t>
      </w:r>
    </w:p>
    <w:p>
      <w:pPr>
        <w:pStyle w:val="F4Body"/>
        <w:numPr>
          <w:ilvl w:val="0"/>
          <w:numId w:val="12"/>
        </w:numPr>
        <w:spacing w:after="60"/>
      </w:pPr>
      <w:r>
        <w:rPr>
          <w:b/>
        </w:rPr>
        <w:t xml:space="preserve">Supuestos.</w:t>
      </w:r>
      <w:r>
        <w:rPr/>
        <w:t xml:space="preserve"> Los registros de 0 MWh son observaciones válidas mientras no exista evidencia de error; se mantiene la codificación horaria 1–24 del CEN con 24 observaciones por central y fecha; los datos publicados reflejan fielmente la energía inyectada.</w:t>
      </w:r>
    </w:p>
    <w:p w14:paraId="006BA84D" w14:textId="77777777" w:rsidR="00940530" w:rsidRPr="0015658B" w:rsidRDefault="00575328" w:rsidP="0015658B">
      <w:pPr>
        <w:pStyle w:val="Ttulo2"/>
      </w:pPr>
      <w:bookmarkStart w:id="7" w:name="_Toc241865068"/>
      <w:r w:rsidRPr="0015658B">
        <w:t>3.5 Articulación con las fases F1–F4</w:t>
      </w:r>
      <w:bookmarkEnd w:id="7"/>
    </w:p>
    <w:tbl>
      <w:tblPr>
        <w:tblStyle w:val="Tablade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575328" w:rsidP="001753FD">
            <w:pPr>
              <w:widowControl/>
              <w:spacing w:after="0" w:line="240" w:lineRule="auto"/>
              <w:ind w:firstLine="0"/>
              <w:jc w:val="center"/>
            </w:pPr>
            <w:r w:rsidRPr="00673CF5">
              <w:t>Fase</w:t>
            </w:r>
          </w:p>
        </w:tc>
        <w:tc>
          <w:tcPr>
            <w:tcW w:w="4437" w:type="dxa"/>
          </w:tcPr>
          <w:p w14:paraId="31AED3CA"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575328" w:rsidP="001753FD">
            <w:pPr>
              <w:widowControl/>
              <w:spacing w:after="0" w:line="240" w:lineRule="auto"/>
              <w:ind w:firstLine="0"/>
              <w:jc w:val="center"/>
            </w:pPr>
            <w:r w:rsidRPr="00673CF5">
              <w:t>F1</w:t>
            </w:r>
          </w:p>
        </w:tc>
        <w:tc>
          <w:tcPr>
            <w:tcW w:w="4437" w:type="dxa"/>
          </w:tcPr>
          <w:p w14:paraId="50CD83EE"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 xml:space="preserve">Definición del problema, objetivos, alcance y </w:t>
            </w:r>
            <w:r w:rsidRPr="00673CF5">
              <w:t>entorno reproducible.</w:t>
            </w:r>
          </w:p>
        </w:tc>
        <w:tc>
          <w:tcPr>
            <w:tcW w:w="4111" w:type="dxa"/>
          </w:tcPr>
          <w:p w14:paraId="774B1E98"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575328" w:rsidP="001753FD">
            <w:pPr>
              <w:widowControl/>
              <w:spacing w:after="0" w:line="240" w:lineRule="auto"/>
              <w:ind w:firstLine="0"/>
              <w:jc w:val="center"/>
            </w:pPr>
            <w:r w:rsidRPr="00673CF5">
              <w:t>F2</w:t>
            </w:r>
          </w:p>
        </w:tc>
        <w:tc>
          <w:tcPr>
            <w:tcW w:w="4437" w:type="dxa"/>
          </w:tcPr>
          <w:p w14:paraId="059374C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575328" w:rsidP="001753FD">
            <w:pPr>
              <w:widowControl/>
              <w:spacing w:after="0" w:line="240" w:lineRule="auto"/>
              <w:ind w:firstLine="0"/>
              <w:jc w:val="center"/>
            </w:pPr>
            <w:r w:rsidRPr="00673CF5">
              <w:t>F3</w:t>
            </w:r>
          </w:p>
        </w:tc>
        <w:tc>
          <w:tcPr>
            <w:tcW w:w="4437" w:type="dxa"/>
          </w:tcPr>
          <w:p w14:paraId="43846C2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575328" w:rsidP="001753FD">
            <w:pPr>
              <w:widowControl/>
              <w:spacing w:after="0" w:line="240" w:lineRule="auto"/>
              <w:ind w:firstLine="0"/>
              <w:jc w:val="center"/>
            </w:pPr>
            <w:r w:rsidRPr="00673CF5">
              <w:t>F4</w:t>
            </w:r>
          </w:p>
        </w:tc>
        <w:tc>
          <w:tcPr>
            <w:tcW w:w="4437" w:type="dxa"/>
          </w:tcPr>
          <w:p w14:paraId="05FE3F6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575328" w:rsidP="0015658B">
      <w:pPr>
        <w:pStyle w:val="Ttulo1"/>
      </w:pPr>
      <w:bookmarkStart w:id="8" w:name="_Toc241865069"/>
      <w:r w:rsidRPr="00673CF5">
        <w:lastRenderedPageBreak/>
        <w:t>IV. Aplicación de herramientas científicas</w:t>
      </w:r>
      <w:bookmarkEnd w:id="8"/>
    </w:p>
    <w:p w14:paraId="044C8692" w14:textId="77777777" w:rsidR="00940530" w:rsidRPr="00673CF5" w:rsidRDefault="00575328" w:rsidP="001753FD">
      <w:pPr>
        <w:pStyle w:val="Ttulo2"/>
        <w:ind w:left="720"/>
      </w:pPr>
      <w:bookmarkStart w:id="9" w:name="_Toc241865070"/>
      <w:r w:rsidRPr="00673CF5">
        <w:t>a. Reproducibilidad técnica</w:t>
      </w:r>
      <w:bookmarkEnd w:id="9"/>
    </w:p>
    <w:p>
      <w:pPr>
        <w:ind w:left="0" w:firstLine="567"/>
      </w:pPr>
      <w:r>
        <w:rPr/>
        <w:t xml:space="preserve">El proyecto se ejecuta en un entorno virtual dedicado con Python 3.14.7 y pandas 3.0.5 sobre Windows 11. Cada notebook (F1–F4) abre con una celda que imprime las versiones y verifica </w:t>
      </w:r>
      <w:r>
        <w:rPr>
          <w:rFonts w:ascii="Courier New" w:hAnsi="Courier New" w:cs="Courier New"/>
        </w:rPr>
        <w:t xml:space="preserve">sys.prefix != sys.base_prefix</w:t>
      </w:r>
      <w:r>
        <w:rPr/>
        <w:t xml:space="preserve"> para confirmar que el entorno virtual está activo. Las dependencias con versión fija se registran en </w:t>
      </w:r>
      <w:r>
        <w:rPr>
          <w:rFonts w:ascii="Courier New" w:hAnsi="Courier New" w:cs="Courier New"/>
        </w:rPr>
        <w:t xml:space="preserve">requirements.txt</w:t>
      </w:r>
      <w:r>
        <w:rPr/>
        <w:t xml:space="preserve">, las rutas son relativas a la raíz del repositorio, los datos se separan en </w:t>
      </w:r>
      <w:r>
        <w:rPr>
          <w:rFonts w:ascii="Courier New" w:hAnsi="Courier New" w:cs="Courier New"/>
        </w:rPr>
        <w:t xml:space="preserve">data/raw</w:t>
      </w:r>
      <w:r>
        <w:rPr/>
        <w:t xml:space="preserve"> y </w:t>
      </w:r>
      <w:r>
        <w:rPr>
          <w:rFonts w:ascii="Courier New" w:hAnsi="Courier New" w:cs="Courier New"/>
        </w:rPr>
        <w:t xml:space="preserve">data/processed</w:t>
      </w:r>
      <w:r>
        <w:rPr/>
        <w:t xml:space="preserve">, y </w:t>
      </w:r>
      <w:r>
        <w:rPr>
          <w:rFonts w:ascii="Courier New" w:hAnsi="Courier New" w:cs="Courier New"/>
        </w:rPr>
        <w:t xml:space="preserve">.gitignore</w:t>
      </w:r>
      <w:r>
        <w:rPr/>
        <w:t xml:space="preserve"> excluye entornos virtuales y archivos temporales, siguiendo las buenas prácticas de computación científica (Wilson et al., 2014). Los notebooks se entregan ejecutados desde kernel limpio (</w:t>
      </w:r>
      <w:r>
        <w:rPr>
          <w:i/>
        </w:rPr>
        <w:t xml:space="preserve">Restart &amp; Run All</w:t>
      </w:r>
      <w:r>
        <w:rPr/>
        <w:t xml:space="preserve">), de modo que toda salida puede regenerarse.</w:t>
      </w:r>
    </w:p>
    <w:p w14:paraId="06D339C1" w14:textId="77777777" w:rsidR="00940530" w:rsidRPr="00673CF5" w:rsidRDefault="00575328" w:rsidP="001753FD">
      <w:pPr>
        <w:pStyle w:val="Ttulo2"/>
        <w:ind w:left="720"/>
      </w:pPr>
      <w:bookmarkStart w:id="10" w:name="_Toc241865071"/>
      <w:r w:rsidRPr="00673CF5">
        <w:t>b. Control de versiones</w:t>
      </w:r>
      <w:bookmarkEnd w:id="10"/>
    </w:p>
    <w:p>
      <w:pPr>
        <w:ind w:left="0" w:firstLine="567"/>
      </w:pPr>
      <w:r>
        <w:rPr/>
        <w:t xml:space="preserve">El historial se gestiona con Git y GitHub (Chacon &amp; Straub, 2014) mediante ramas por tarea y fusión a </w:t>
      </w:r>
      <w:r>
        <w:rPr>
          <w:rFonts w:ascii="Courier New" w:hAnsi="Courier New" w:cs="Courier New"/>
        </w:rPr>
        <w:t xml:space="preserve">main</w:t>
      </w:r>
      <w:r>
        <w:rPr/>
        <w:t xml:space="preserve"> por </w:t>
      </w:r>
      <w:r>
        <w:rPr>
          <w:i/>
        </w:rPr>
        <w:t xml:space="preserve">pull request</w:t>
      </w:r>
      <w:r>
        <w:rPr/>
        <w:t xml:space="preserve">. Las identidades duplicadas de los cuatro integrantes se consolidaron con </w:t>
      </w:r>
      <w:r>
        <w:rPr>
          <w:rFonts w:ascii="Courier New" w:hAnsi="Courier New" w:cs="Courier New"/>
        </w:rPr>
        <w:t xml:space="preserve">.mailmap</w:t>
      </w:r>
      <w:r>
        <w:rPr/>
        <w:t xml:space="preserve">, de modo que </w:t>
      </w:r>
      <w:r>
        <w:rPr>
          <w:rFonts w:ascii="Courier New" w:hAnsi="Courier New" w:cs="Courier New"/>
        </w:rPr>
        <w:t xml:space="preserve">git shortlog</w:t>
      </w:r>
      <w:r>
        <w:rPr/>
        <w:t xml:space="preserve"> muestra cuatro autores. Los cambios relevantes se resumen en </w:t>
      </w:r>
      <w:r>
        <w:rPr>
          <w:rFonts w:ascii="Courier New" w:hAnsi="Courier New" w:cs="Courier New"/>
        </w:rPr>
        <w:t xml:space="preserve">changelog.md</w:t>
      </w:r>
      <w:r>
        <w:rPr/>
        <w:t xml:space="preserve"> (fecha, descripción, hash, justificación y autor) y los hashes citados en este informe (Tabla 5) pueden verificarse con </w:t>
      </w:r>
      <w:r>
        <w:rPr>
          <w:rFonts w:ascii="Courier New" w:hAnsi="Courier New" w:cs="Courier New"/>
        </w:rPr>
        <w:t xml:space="preserve">git show &lt;hash&gt;</w:t>
      </w:r>
      <w:r>
        <w:rPr/>
        <w:t xml:space="preserve">.</w:t>
      </w:r>
    </w:p>
    <w:p w14:paraId="705B42C1" w14:textId="77777777" w:rsidR="00940530" w:rsidRPr="00673CF5" w:rsidRDefault="00575328" w:rsidP="001753FD">
      <w:pPr>
        <w:pStyle w:val="Ttulo2"/>
        <w:ind w:left="720"/>
      </w:pPr>
      <w:bookmarkStart w:id="11" w:name="_Toc241865072"/>
      <w:r w:rsidRPr="00673CF5">
        <w:t>c. Documentación del proceso</w:t>
      </w:r>
      <w:bookmarkEnd w:id="11"/>
    </w:p>
    <w:p>
      <w:pPr>
        <w:ind w:left="0" w:firstLine="567"/>
      </w:pPr>
      <w:r>
        <w:rPr>
          <w:rFonts w:ascii="Courier New" w:hAnsi="Courier New" w:cs="Courier New"/>
        </w:rPr>
        <w:t xml:space="preserve">README.md</w:t>
      </w:r>
      <w:r>
        <w:rPr/>
        <w:t xml:space="preserve"> describe el problema, la fuente, la estructura del repositorio, la instalación, la ejecución, los resultados y las contribuciones por integrante y fase; </w:t>
      </w:r>
      <w:r>
        <w:rPr>
          <w:rFonts w:ascii="Courier New" w:hAnsi="Courier New" w:cs="Courier New"/>
        </w:rPr>
        <w:t xml:space="preserve">README_F3.md</w:t>
      </w:r>
      <w:r>
        <w:rPr/>
        <w:t xml:space="preserve"> detalla la arquitectura de F3. El código de </w:t>
      </w:r>
      <w:r>
        <w:rPr>
          <w:rFonts w:ascii="Courier New" w:hAnsi="Courier New" w:cs="Courier New"/>
        </w:rPr>
        <w:t xml:space="preserve">src/</w:t>
      </w:r>
      <w:r>
        <w:rPr/>
        <w:t xml:space="preserve"> documenta con docstrings sus clases y funciones públicas, y cada notebook explica en celdas Markdown las decisiones técnicas antes del código. Cada figura final declara fuente e interpretación (sección VII).</w:t>
      </w:r>
    </w:p>
    <w:p w14:paraId="781CD54E" w14:textId="77777777" w:rsidR="00940530" w:rsidRPr="00673CF5" w:rsidRDefault="00575328" w:rsidP="001753FD">
      <w:pPr>
        <w:pStyle w:val="Ttulo2"/>
        <w:ind w:left="720"/>
      </w:pPr>
      <w:bookmarkStart w:id="12" w:name="_Toc241865073"/>
      <w:r w:rsidRPr="00673CF5">
        <w:t>d. Repositorio GitHub actualizado</w:t>
      </w:r>
      <w:bookmarkEnd w:id="12"/>
    </w:p>
    <w:p>
      <w:pPr>
        <w:ind w:left="0" w:firstLine="567"/>
      </w:pPr>
      <w:r>
        <w:rPr/>
        <w:t xml:space="preserve">El repositorio público (URL en la portada) contiene un notebook por fase (F1–F4), el paquete </w:t>
      </w:r>
      <w:r>
        <w:rPr>
          <w:rFonts w:ascii="Courier New" w:hAnsi="Courier New" w:cs="Courier New"/>
        </w:rPr>
        <w:t xml:space="preserve">src/</w:t>
      </w:r>
      <w:r>
        <w:rPr/>
        <w:t xml:space="preserve">, </w:t>
      </w:r>
      <w:r>
        <w:rPr>
          <w:rFonts w:ascii="Courier New" w:hAnsi="Courier New" w:cs="Courier New"/>
        </w:rPr>
        <w:t xml:space="preserve">data/</w:t>
      </w:r>
      <w:r>
        <w:rPr/>
        <w:t xml:space="preserve">, </w:t>
      </w:r>
      <w:r>
        <w:rPr>
          <w:rFonts w:ascii="Courier New" w:hAnsi="Courier New" w:cs="Courier New"/>
        </w:rPr>
        <w:t xml:space="preserve">docs/</w:t>
      </w:r>
      <w:r>
        <w:rPr/>
        <w:t xml:space="preserve"> con este informe, </w:t>
      </w:r>
      <w:r>
        <w:rPr>
          <w:rFonts w:ascii="Courier New" w:hAnsi="Courier New" w:cs="Courier New"/>
        </w:rPr>
        <w:t xml:space="preserve">README.md</w:t>
      </w:r>
      <w:r>
        <w:rPr/>
        <w:t xml:space="preserve">, </w:t>
      </w:r>
      <w:r>
        <w:rPr>
          <w:rFonts w:ascii="Courier New" w:hAnsi="Courier New" w:cs="Courier New"/>
        </w:rPr>
        <w:t xml:space="preserve">changelog.md</w:t>
      </w:r>
      <w:r>
        <w:rPr/>
        <w:t xml:space="preserve"> y </w:t>
      </w:r>
      <w:r>
        <w:rPr>
          <w:rFonts w:ascii="Courier New" w:hAnsi="Courier New" w:cs="Courier New"/>
        </w:rPr>
        <w:t xml:space="preserve">requirements.txt</w:t>
      </w:r>
      <w:r>
        <w:rPr/>
        <w:t xml:space="preserve">. La rama </w:t>
      </w:r>
      <w:r>
        <w:rPr>
          <w:rFonts w:ascii="Courier New" w:hAnsi="Courier New" w:cs="Courier New"/>
        </w:rPr>
        <w:t xml:space="preserve">main</w:t>
      </w:r>
      <w:r>
        <w:rPr/>
        <w:t xml:space="preserve"> refleja la última versión integrada y no hay ramas remotas con trabajo pendiente de fusionar.</w:t>
      </w:r>
    </w:p>
    <w:p w14:paraId="1D8E4A5E" w14:textId="77777777" w:rsidR="00940530" w:rsidRPr="00673CF5" w:rsidRDefault="00575328" w:rsidP="001753FD">
      <w:pPr>
        <w:pStyle w:val="Ttulo1"/>
      </w:pPr>
      <w:bookmarkStart w:id="13" w:name="_Toc241865074"/>
      <w:r w:rsidRPr="00673CF5">
        <w:t>V. Diseño de soluciones algorítmicas eficientes</w:t>
      </w:r>
      <w:bookmarkEnd w:id="13"/>
    </w:p>
    <w:p w14:paraId="76C7C506" w14:textId="77777777" w:rsidR="00940530" w:rsidRPr="00673CF5" w:rsidRDefault="00575328" w:rsidP="001753FD">
      <w:pPr>
        <w:pStyle w:val="Ttulo2"/>
        <w:ind w:left="720"/>
      </w:pPr>
      <w:bookmarkStart w:id="14" w:name="_Toc241865075"/>
      <w:r w:rsidRPr="00673CF5">
        <w:t>a. Codificación funcional</w:t>
      </w:r>
      <w:bookmarkEnd w:id="14"/>
    </w:p>
    <w:p>
      <w:pPr>
        <w:ind w:left="0" w:firstLine="567"/>
      </w:pPr>
      <w:r>
        <w:rPr/>
        <w:t xml:space="preserve">La lógica reutilizable vive en </w:t>
      </w:r>
      <w:r>
        <w:rPr>
          <w:rFonts w:ascii="Courier New" w:hAnsi="Courier New" w:cs="Courier New"/>
        </w:rPr>
        <w:t xml:space="preserve">src/</w:t>
      </w:r>
      <w:r>
        <w:rPr/>
        <w:t xml:space="preserve"> y los notebooks solo la invocan: </w:t>
      </w:r>
      <w:r>
        <w:rPr>
          <w:rFonts w:ascii="Courier New" w:hAnsi="Courier New" w:cs="Courier New"/>
        </w:rPr>
        <w:t xml:space="preserve">carga.py</w:t>
      </w:r>
      <w:r>
        <w:rPr/>
        <w:t xml:space="preserve"> lee el CSV del CEN; </w:t>
      </w:r>
      <w:r>
        <w:rPr>
          <w:rFonts w:ascii="Courier New" w:hAnsi="Courier New" w:cs="Courier New"/>
        </w:rPr>
        <w:t xml:space="preserve">transformacion.py</w:t>
      </w:r>
      <w:r>
        <w:rPr/>
        <w:t xml:space="preserve"> convierte los valores a numérico de forma estricta (</w:t>
      </w:r>
      <w:r>
        <w:rPr>
          <w:rFonts w:ascii="Courier New" w:hAnsi="Courier New" w:cs="Courier New"/>
        </w:rPr>
        <w:t xml:space="preserve">pd.to_numeric(errors="raise")</w:t>
      </w:r>
      <w:r>
        <w:rPr/>
        <w:t xml:space="preserve">) y pasa de formato ancho a largo; </w:t>
      </w:r>
      <w:r>
        <w:rPr>
          <w:rFonts w:ascii="Courier New" w:hAnsi="Courier New" w:cs="Courier New"/>
        </w:rPr>
        <w:t xml:space="preserve">validacion.py</w:t>
      </w:r>
      <w:r>
        <w:rPr/>
        <w:t xml:space="preserve"> implementa reglas atómicas (sin nulos, sin duplicados, sin negativos, categorías esperadas y granularidad de 24 horas); </w:t>
      </w:r>
      <w:r>
        <w:rPr>
          <w:rFonts w:ascii="Courier New" w:hAnsi="Courier New" w:cs="Courier New"/>
        </w:rPr>
        <w:t xml:space="preserve">exportacion.py</w:t>
      </w:r>
      <w:r>
        <w:rPr/>
        <w:t xml:space="preserve"> guarda el dataset creando la carpeta de destino si no existe; y </w:t>
      </w:r>
      <w:r>
        <w:rPr>
          <w:rFonts w:ascii="Courier New" w:hAnsi="Courier New" w:cs="Courier New"/>
        </w:rPr>
        <w:t xml:space="preserve">secuencias.py</w:t>
      </w:r>
      <w:r>
        <w:rPr/>
        <w:t xml:space="preserve"> detecta secuencias de 0 MWh.</w:t>
      </w:r>
    </w:p>
    <w:p w14:paraId="68DE5EF4" w14:textId="77777777" w:rsidR="00940530" w:rsidRPr="00673CF5" w:rsidRDefault="00575328" w:rsidP="001753FD">
      <w:pPr>
        <w:pStyle w:val="Ttulo2"/>
        <w:ind w:left="720"/>
      </w:pPr>
      <w:bookmarkStart w:id="15" w:name="_Toc241865076"/>
      <w:r w:rsidRPr="00673CF5">
        <w:t>b. Preprocesamie</w:t>
      </w:r>
      <w:r w:rsidRPr="00673CF5">
        <w:t xml:space="preserve">nto y transformación del </w:t>
      </w:r>
      <w:proofErr w:type="spellStart"/>
      <w:r w:rsidRPr="00673CF5">
        <w:t>dataset</w:t>
      </w:r>
      <w:bookmarkEnd w:id="15"/>
      <w:proofErr w:type="spellEnd"/>
    </w:p>
    <w:p>
      <w:pPr>
        <w:ind w:left="0" w:firstLine="567"/>
      </w:pPr>
      <w:r>
        <w:rPr/>
        <w:t xml:space="preserve">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35EDA682" w14:textId="77777777" w:rsidR="00940530" w:rsidRPr="00673CF5" w:rsidRDefault="00575328" w:rsidP="001753FD">
      <w:pPr>
        <w:pStyle w:val="Ttulo2"/>
        <w:ind w:left="720"/>
      </w:pPr>
      <w:bookmarkStart w:id="16" w:name="_Toc241865077"/>
      <w:r w:rsidRPr="00673CF5">
        <w:t>c. Validación técnica y verificación del código</w:t>
      </w:r>
      <w:bookmarkEnd w:id="16"/>
    </w:p>
    <w:p>
      <w:pPr>
        <w:ind w:left="0" w:firstLine="567"/>
      </w:pPr>
      <w:r>
        <w:rPr/>
        <w:t xml:space="preserve">Las reglas de </w:t>
      </w:r>
      <w:r>
        <w:rPr>
          <w:rFonts w:ascii="Courier New" w:hAnsi="Courier New" w:cs="Courier New"/>
        </w:rPr>
        <w:t xml:space="preserve">validacion.py</w:t>
      </w:r>
      <w:r>
        <w:rP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 xml:space="preserve">KeyError</w:t>
      </w:r>
      <w:r>
        <w:rPr/>
        <w:t xml:space="preserve"> ante una columna ausente o </w:t>
      </w:r>
      <w:r>
        <w:rPr>
          <w:rFonts w:ascii="Courier New" w:hAnsi="Courier New" w:cs="Courier New"/>
        </w:rPr>
        <w:t xml:space="preserve">AssertionError</w:t>
      </w:r>
      <w:r>
        <w:rPr/>
        <w:t xml:space="preserve"> ante generación negativa (excepción). En F3, el algoritmo de secuencias se prueba con cinco casos controlados (normal, sin ceros, todos ceros, vacío y tipo inválido). Además, el </w:t>
      </w:r>
      <w:r>
        <w:rPr>
          <w:i/>
        </w:rPr>
        <w:t xml:space="preserve">Pipeline</w:t>
      </w:r>
      <w:r>
        <w:rPr/>
        <w:t xml:space="preserve"> orientado a objetos se reconstruye desde los datos crudos y se compara con el dataset de F2 mediante </w:t>
      </w:r>
      <w:r>
        <w:rPr>
          <w:rFonts w:ascii="Courier New" w:hAnsi="Courier New" w:cs="Courier New"/>
        </w:rPr>
        <w:t xml:space="preserve">pd.testing.assert_frame_equal</w:t>
      </w:r>
      <w:r>
        <w:rPr/>
        <w:t xml:space="preserve">, confirmando equivalencia funcional.</w:t>
      </w:r>
    </w:p>
    <w:p w14:paraId="7919AA55" w14:textId="77777777" w:rsidR="00940530" w:rsidRPr="00673CF5" w:rsidRDefault="00575328" w:rsidP="001753FD">
      <w:pPr>
        <w:pStyle w:val="Ttulo2"/>
        <w:ind w:left="720"/>
      </w:pPr>
      <w:bookmarkStart w:id="17" w:name="_Toc241865078"/>
      <w:r w:rsidRPr="00673CF5">
        <w:t>d. Eficiencia y optimización</w:t>
      </w:r>
      <w:bookmarkEnd w:id="17"/>
    </w:p>
    <w:p>
      <w:pPr>
        <w:ind w:left="0" w:firstLine="567"/>
      </w:pPr>
      <w:r>
        <w:rPr/>
        <w:t xml:space="preserve">Las mediciones usan </w:t>
      </w:r>
      <w:r>
        <w:rPr>
          <w:rFonts w:ascii="Courier New" w:hAnsi="Courier New" w:cs="Courier New"/>
        </w:rPr>
        <w:t xml:space="preserve">timeit</w:t>
      </w:r>
      <w:r>
        <w:rPr/>
        <w:t xml:space="preserve"> y </w:t>
      </w:r>
      <w:r>
        <w:rPr>
          <w:rFonts w:ascii="Courier New" w:hAnsi="Courier New" w:cs="Courier New"/>
        </w:rPr>
        <w:t xml:space="preserve">tracemalloc</w:t>
      </w:r>
      <w:r>
        <w:rP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 xml:space="preserve">iterrows</w:t>
      </w:r>
      <w:r>
        <w:rPr/>
        <w:t xml:space="preserve">. Para las secuencias de 0 MWh se adopta la versión iterativa: ambas son O(n), pero la recursiva consume unas tres veces más memoria por la pila de llamadas y no es más rápida desde 250 observaciones; se conserva como contraste algorítmico.</w:t>
      </w:r>
    </w:p>
    <w:p>
      <w:pPr>
        <w:keepNext/>
        <w:spacing w:before="80" w:after="60"/>
        <w:ind w:left="0" w:firstLine="0"/>
        <w:jc w:val="left"/>
      </w:pPr>
      <w:r>
        <w:rPr>
          <w:b/>
          <w:sz w:val="19"/>
          <w:szCs w:val="19"/>
        </w:rPr>
        <w:t xml:space="preserve">Tabla 1. Comparación de eficiencia entre implementaciones equivalentes</w:t>
      </w:r>
    </w:p>
    <w:tbl>
      <w:tblPr>
        <w:tblStyle w:val="Tabladecuadrcula4-nfasis1"/>
        <w:tblW w:w="10380" w:type="dxa"/>
        <w:tblLayout w:type="fixed"/>
        <w:tblLook w:val="04A0" w:firstRow="1" w:lastRow="0" w:firstColumn="1" w:lastColumn="0" w:noHBand="0" w:noVBand="1"/>
      </w:tblPr>
      <w:tblGrid>
        <w:gridCol w:w="2500"/>
        <w:gridCol w:w="2500"/>
        <w:gridCol w:w="2600"/>
        <w:gridCol w:w="2780"/>
      </w:tblGrid>
      <w:tr>
        <w:trPr>
          <w:cantSplit/>
          <w:tblHeader/>
        </w:trPr>
        <w:tc>
          <w:tcPr>
            <w:tcW w:w="2500" w:type="dxa"/>
            <w:vAlign w:val="center"/>
          </w:tcPr>
          <w:p>
            <w:pPr>
              <w:spacing w:before="20" w:after="20" w:line="240" w:lineRule="auto"/>
              <w:ind w:left="0" w:firstLine="0"/>
              <w:jc w:val="left"/>
            </w:pPr>
            <w:r>
              <w:rPr>
                <w:sz w:val="17"/>
                <w:szCs w:val="17"/>
              </w:rPr>
              <w:t xml:space="preserve">Comparación</w:t>
            </w:r>
          </w:p>
        </w:tc>
        <w:tc>
          <w:tcPr>
            <w:tcW w:w="2500" w:type="dxa"/>
            <w:vAlign w:val="center"/>
          </w:tcPr>
          <w:p>
            <w:pPr>
              <w:spacing w:before="20" w:after="20" w:line="240" w:lineRule="auto"/>
              <w:ind w:left="0" w:firstLine="0"/>
              <w:jc w:val="left"/>
            </w:pPr>
            <w:r>
              <w:rPr>
                <w:sz w:val="17"/>
                <w:szCs w:val="17"/>
              </w:rPr>
              <w:t xml:space="preserve">Implementación A</w:t>
            </w:r>
          </w:p>
        </w:tc>
        <w:tc>
          <w:tcPr>
            <w:tcW w:w="2600" w:type="dxa"/>
            <w:vAlign w:val="center"/>
          </w:tcPr>
          <w:p>
            <w:pPr>
              <w:spacing w:before="20" w:after="20" w:line="240" w:lineRule="auto"/>
              <w:ind w:left="0" w:firstLine="0"/>
              <w:jc w:val="left"/>
            </w:pPr>
            <w:r>
              <w:rPr>
                <w:sz w:val="17"/>
                <w:szCs w:val="17"/>
              </w:rPr>
              <w:t xml:space="preserve">Implementación B</w:t>
            </w:r>
          </w:p>
        </w:tc>
        <w:tc>
          <w:tcPr>
            <w:tcW w:w="2780" w:type="dxa"/>
            <w:vAlign w:val="center"/>
          </w:tcPr>
          <w:p>
            <w:pPr>
              <w:spacing w:before="20" w:after="20" w:line="240" w:lineRule="auto"/>
              <w:ind w:left="0" w:firstLine="0"/>
              <w:jc w:val="left"/>
            </w:pPr>
            <w:r>
              <w:rPr>
                <w:sz w:val="17"/>
                <w:szCs w:val="17"/>
              </w:rPr>
              <w:t xml:space="preserve">Resultado</w:t>
            </w:r>
          </w:p>
        </w:tc>
      </w:tr>
      <w:tr>
        <w:trPr>
          <w:cantSplit/>
        </w:trPr>
        <w:tc>
          <w:tcPr>
            <w:tcW w:w="2500" w:type="dxa"/>
            <w:vAlign w:val="center"/>
          </w:tcPr>
          <w:p>
            <w:pPr>
              <w:spacing w:before="20" w:after="20" w:line="240" w:lineRule="auto"/>
              <w:ind w:left="0" w:firstLine="0"/>
              <w:jc w:val="left"/>
            </w:pPr>
            <w:r>
              <w:rPr>
                <w:sz w:val="17"/>
                <w:szCs w:val="17"/>
              </w:rPr>
              <w:t xml:space="preserve">Ancho → largo (17.496 obs.)</w:t>
            </w:r>
          </w:p>
        </w:tc>
        <w:tc>
          <w:tcPr>
            <w:tcW w:w="250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0,069 s; 4,40 MB</w:t>
            </w:r>
          </w:p>
        </w:tc>
        <w:tc>
          <w:tcPr>
            <w:tcW w:w="2600" w:type="dxa"/>
            <w:vAlign w:val="center"/>
          </w:tcPr>
          <w:p>
            <w:pPr>
              <w:spacing w:before="20" w:after="20" w:line="240" w:lineRule="auto"/>
              <w:ind w:left="0" w:firstLine="0"/>
              <w:jc w:val="left"/>
            </w:pPr>
            <w:r>
              <w:rPr>
                <w:rFonts w:ascii="Courier New" w:hAnsi="Courier New" w:cs="Courier New"/>
                <w:sz w:val="17"/>
                <w:szCs w:val="17"/>
              </w:rPr>
              <w:t xml:space="preserve">iterrows</w:t>
            </w:r>
            <w:r>
              <w:rPr>
                <w:sz w:val="17"/>
                <w:szCs w:val="17"/>
              </w:rPr>
              <w:t xml:space="preserve">: 0,364 s; 11,13 MB</w:t>
            </w:r>
          </w:p>
        </w:tc>
        <w:tc>
          <w:tcPr>
            <w:tcW w:w="278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5,3× más rápido; 2,5× menos memoria</w:t>
            </w:r>
          </w:p>
        </w:tc>
      </w:tr>
      <w:tr>
        <w:trPr>
          <w:cantSplit/>
        </w:trPr>
        <w:tc>
          <w:tcPr>
            <w:tcW w:w="2500" w:type="dxa"/>
            <w:vAlign w:val="center"/>
          </w:tcPr>
          <w:p>
            <w:pPr>
              <w:spacing w:before="20" w:after="20" w:line="240" w:lineRule="auto"/>
              <w:ind w:left="0" w:firstLine="0"/>
              <w:jc w:val="left"/>
            </w:pPr>
            <w:r>
              <w:rPr>
                <w:sz w:val="17"/>
                <w:szCs w:val="17"/>
              </w:rPr>
              <w:t xml:space="preserve">Detección de ceros (17.496 obs.)</w:t>
            </w:r>
          </w:p>
        </w:tc>
        <w:tc>
          <w:tcPr>
            <w:tcW w:w="2500" w:type="dxa"/>
            <w:vAlign w:val="center"/>
          </w:tcPr>
          <w:p>
            <w:pPr>
              <w:spacing w:before="20" w:after="20" w:line="240" w:lineRule="auto"/>
              <w:ind w:left="0" w:firstLine="0"/>
              <w:jc w:val="left"/>
            </w:pPr>
            <w:r>
              <w:rPr>
                <w:sz w:val="17"/>
                <w:szCs w:val="17"/>
              </w:rPr>
              <w:t xml:space="preserve">Iterativa: 0,0036 s; 154 KB</w:t>
            </w:r>
          </w:p>
        </w:tc>
        <w:tc>
          <w:tcPr>
            <w:tcW w:w="2600" w:type="dxa"/>
            <w:vAlign w:val="center"/>
          </w:tcPr>
          <w:p>
            <w:pPr>
              <w:spacing w:before="20" w:after="20" w:line="240" w:lineRule="auto"/>
              <w:ind w:left="0" w:firstLine="0"/>
              <w:jc w:val="left"/>
            </w:pPr>
            <w:r>
              <w:rPr>
                <w:sz w:val="17"/>
                <w:szCs w:val="17"/>
              </w:rPr>
              <w:t xml:space="preserve">Vectorizada: 0,00034 s; 158 KB</w:t>
            </w:r>
          </w:p>
        </w:tc>
        <w:tc>
          <w:tcPr>
            <w:tcW w:w="2780" w:type="dxa"/>
            <w:vAlign w:val="center"/>
          </w:tcPr>
          <w:p>
            <w:pPr>
              <w:spacing w:before="20" w:after="20" w:line="240" w:lineRule="auto"/>
              <w:ind w:left="0" w:firstLine="0"/>
              <w:jc w:val="left"/>
            </w:pPr>
            <w:r>
              <w:rPr>
                <w:sz w:val="17"/>
                <w:szCs w:val="17"/>
              </w:rPr>
              <w:t xml:space="preserve">Vectorizada ≈10× más rápida; memoria similar</w:t>
            </w:r>
          </w:p>
        </w:tc>
      </w:tr>
      <w:tr>
        <w:trPr>
          <w:cantSplit/>
        </w:trPr>
        <w:tc>
          <w:tcPr>
            <w:tcW w:w="2500" w:type="dxa"/>
            <w:vAlign w:val="center"/>
          </w:tcPr>
          <w:p>
            <w:pPr>
              <w:spacing w:before="20" w:after="20" w:line="240" w:lineRule="auto"/>
              <w:ind w:left="0" w:firstLine="0"/>
              <w:jc w:val="left"/>
            </w:pPr>
            <w:r>
              <w:rPr>
                <w:sz w:val="17"/>
                <w:szCs w:val="17"/>
              </w:rPr>
              <w:t xml:space="preserve">Secuencias de 0 MWh (750 obs.)</w:t>
            </w:r>
          </w:p>
        </w:tc>
        <w:tc>
          <w:tcPr>
            <w:tcW w:w="2500" w:type="dxa"/>
            <w:vAlign w:val="center"/>
          </w:tcPr>
          <w:p>
            <w:pPr>
              <w:spacing w:before="20" w:after="20" w:line="240" w:lineRule="auto"/>
              <w:ind w:left="0" w:firstLine="0"/>
              <w:jc w:val="left"/>
            </w:pPr>
            <w:r>
              <w:rPr>
                <w:sz w:val="17"/>
                <w:szCs w:val="17"/>
              </w:rPr>
              <w:t xml:space="preserve">Iterativa: 6.448 bytes</w:t>
            </w:r>
          </w:p>
        </w:tc>
        <w:tc>
          <w:tcPr>
            <w:tcW w:w="2600" w:type="dxa"/>
            <w:vAlign w:val="center"/>
          </w:tcPr>
          <w:p>
            <w:pPr>
              <w:spacing w:before="20" w:after="20" w:line="240" w:lineRule="auto"/>
              <w:ind w:left="0" w:firstLine="0"/>
              <w:jc w:val="left"/>
            </w:pPr>
            <w:r>
              <w:rPr>
                <w:sz w:val="17"/>
                <w:szCs w:val="17"/>
              </w:rPr>
              <w:t xml:space="preserve">Recursiva: 18.952 bytes</w:t>
            </w:r>
          </w:p>
        </w:tc>
        <w:tc>
          <w:tcPr>
            <w:tcW w:w="2780" w:type="dxa"/>
            <w:vAlign w:val="center"/>
          </w:tcPr>
          <w:p>
            <w:pPr>
              <w:spacing w:before="20" w:after="20" w:line="240" w:lineRule="auto"/>
              <w:ind w:left="0" w:firstLine="0"/>
              <w:jc w:val="left"/>
            </w:pPr>
            <w:r>
              <w:rPr>
                <w:sz w:val="17"/>
                <w:szCs w:val="17"/>
              </w:rPr>
              <w:t xml:space="preserve">Resultados idénticos; recursiva ≈3× más memoria</w:t>
            </w:r>
          </w:p>
        </w:tc>
      </w:tr>
    </w:tbl>
    <w:p>
      <w:pPr>
        <w:spacing w:before="0" w:after="120"/>
        <w:ind w:left="0" w:firstLine="0"/>
        <w:jc w:val="left"/>
      </w:pPr>
      <w:r>
        <w:rPr>
          <w:i/>
          <w:sz w:val="17"/>
          <w:szCs w:val="17"/>
        </w:rPr>
        <w:t xml:space="preserve">Fuente: elaboración propia, F3 (</w:t>
      </w:r>
      <w:r>
        <w:rPr>
          <w:rFonts w:ascii="Courier New" w:hAnsi="Courier New" w:cs="Courier New"/>
          <w:i/>
          <w:sz w:val="17"/>
          <w:szCs w:val="17"/>
        </w:rPr>
        <w:t xml:space="preserve">F3_nucleo_algoritmico.ipynb</w:t>
      </w:r>
      <w:r>
        <w:rPr>
          <w:i/>
          <w:sz w:val="17"/>
          <w:szCs w:val="17"/>
        </w:rPr>
        <w:t xml:space="preserve">).</w:t>
      </w:r>
    </w:p>
    <w:p w14:paraId="68A8684D" w14:textId="77777777" w:rsidR="00940530" w:rsidRPr="00673CF5" w:rsidRDefault="00575328" w:rsidP="001753FD">
      <w:pPr>
        <w:pStyle w:val="Ttulo2"/>
        <w:ind w:left="720"/>
      </w:pPr>
      <w:bookmarkStart w:id="18" w:name="_Toc241865079"/>
      <w:r w:rsidRPr="00673CF5">
        <w:t>e. Diseño estructurado del código</w:t>
      </w:r>
      <w:bookmarkEnd w:id="18"/>
    </w:p>
    <w:p>
      <w:pPr>
        <w:ind w:left="0" w:firstLine="567"/>
      </w:pPr>
      <w:r>
        <w:rPr/>
        <w:t xml:space="preserve">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FB641B1" w14:textId="77777777" w:rsidR="00940530" w:rsidRPr="00673CF5" w:rsidRDefault="00575328" w:rsidP="001753FD">
      <w:pPr>
        <w:pStyle w:val="Ttulo2"/>
        <w:ind w:left="720"/>
      </w:pPr>
      <w:bookmarkStart w:id="19" w:name="_Toc241865080"/>
      <w:r w:rsidRPr="00673CF5">
        <w:t>f. Notebook final ejecutado y documentado</w:t>
      </w:r>
      <w:bookmarkEnd w:id="19"/>
    </w:p>
    <w:p>
      <w:pPr>
        <w:ind w:left="0" w:firstLine="567"/>
      </w:pPr>
      <w:r>
        <w:rPr>
          <w:rFonts w:ascii="Courier New" w:hAnsi="Courier New" w:cs="Courier New"/>
        </w:rPr>
        <w:t xml:space="preserve">F4_Consolidado_Proyecto.ipynb</w:t>
      </w:r>
      <w:r>
        <w:rPr/>
        <w:t xml:space="preserve"> integra el flujo completo: verifica el entorno, carga el dataset procesado, demuestra la equivalencia con el </w:t>
      </w:r>
      <w:r>
        <w:rPr>
          <w:i/>
        </w:rPr>
        <w:t xml:space="preserve">Pipeline</w:t>
      </w:r>
      <w:r>
        <w:rPr/>
        <w:t xml:space="preserve"> de F3 reconstruido desde los datos crudos, ejecuta las pruebas de las agregaciones y genera las cinco figuras finales con un estilo común. Se entrega ejecutado desde kernel limpio, con las salidas visibles.</w:t>
      </w:r>
    </w:p>
    <w:p w14:paraId="42B64B43" w14:textId="77777777" w:rsidR="00940530" w:rsidRPr="00673CF5" w:rsidRDefault="00575328" w:rsidP="001753FD">
      <w:pPr>
        <w:pStyle w:val="Ttulo1"/>
      </w:pPr>
      <w:bookmarkStart w:id="20" w:name="_Toc241865081"/>
      <w:r w:rsidRPr="00673CF5">
        <w:t>VI. Implementación de código modular y robusto</w:t>
      </w:r>
      <w:bookmarkEnd w:id="20"/>
    </w:p>
    <w:p w14:paraId="667211DE" w14:textId="77777777" w:rsidR="00940530" w:rsidRPr="00673CF5" w:rsidRDefault="00575328" w:rsidP="001753FD">
      <w:pPr>
        <w:pStyle w:val="Ttulo2"/>
        <w:ind w:left="720"/>
      </w:pPr>
      <w:bookmarkStart w:id="21" w:name="_Toc241865082"/>
      <w:r w:rsidRPr="00673CF5">
        <w:t>a. Programación orientada a objetos</w:t>
      </w:r>
      <w:bookmarkEnd w:id="21"/>
    </w:p>
    <w:p>
      <w:pPr>
        <w:ind w:left="0" w:firstLine="567"/>
      </w:pPr>
      <w:r>
        <w:rPr>
          <w:rFonts w:ascii="Courier New" w:hAnsi="Courier New" w:cs="Courier New"/>
        </w:rPr>
        <w:t xml:space="preserve">src/nucleo_poo.py</w:t>
      </w:r>
      <w:r>
        <w:rPr/>
        <w:t xml:space="preserve"> aplica tres principios sobre el esquema de clase base con </w:t>
      </w:r>
      <w:r>
        <w:rPr>
          <w:rFonts w:ascii="Courier New" w:hAnsi="Courier New" w:cs="Courier New"/>
        </w:rPr>
        <w:t xml:space="preserve">ajustar</w:t>
      </w:r>
      <w:r>
        <w:rPr/>
        <w:t xml:space="preserve">/</w:t>
      </w:r>
      <w:r>
        <w:rPr>
          <w:rFonts w:ascii="Courier New" w:hAnsi="Courier New" w:cs="Courier New"/>
        </w:rPr>
        <w:t xml:space="preserve">transformar</w:t>
      </w:r>
      <w:r>
        <w:rPr/>
        <w:t xml:space="preserve"> de la guía del curso (Salinas Silva, 2026a). </w:t>
      </w:r>
      <w:r>
        <w:rPr>
          <w:b/>
        </w:rPr>
        <w:t xml:space="preserve">Herencia:</w:t>
      </w:r>
      <w:r>
        <w:rPr/>
        <w:t xml:space="preserve"> </w:t>
      </w:r>
      <w:r>
        <w:rPr>
          <w:rFonts w:ascii="Courier New" w:hAnsi="Courier New" w:cs="Courier New"/>
        </w:rPr>
        <w:t xml:space="preserve">FiltradorPeriodo</w:t>
      </w:r>
      <w:r>
        <w:rPr/>
        <w:t xml:space="preserve">, </w:t>
      </w:r>
      <w:r>
        <w:rPr>
          <w:rFonts w:ascii="Courier New" w:hAnsi="Courier New" w:cs="Courier New"/>
        </w:rPr>
        <w:t xml:space="preserve">FiltradorCentrales</w:t>
      </w:r>
      <w:r>
        <w:rPr/>
        <w:t xml:space="preserve">, </w:t>
      </w:r>
      <w:r>
        <w:rPr>
          <w:rFonts w:ascii="Courier New" w:hAnsi="Courier New" w:cs="Courier New"/>
        </w:rPr>
        <w:t xml:space="preserve">TransformadorAnchoLargo</w:t>
      </w:r>
      <w:r>
        <w:rPr/>
        <w:t xml:space="preserve"> y </w:t>
      </w:r>
      <w:r>
        <w:rPr>
          <w:rFonts w:ascii="Courier New" w:hAnsi="Courier New" w:cs="Courier New"/>
        </w:rPr>
        <w:t xml:space="preserve">ConstructorVariablesDerivadas</w:t>
      </w:r>
      <w:r>
        <w:rPr/>
        <w:t xml:space="preserve"> heredan de </w:t>
      </w:r>
      <w:r>
        <w:rPr>
          <w:rFonts w:ascii="Courier New" w:hAnsi="Courier New" w:cs="Courier New"/>
        </w:rPr>
        <w:t xml:space="preserve">Transformador</w:t>
      </w:r>
      <w:r>
        <w:rPr/>
        <w:t xml:space="preserve">, que fija el orden (</w:t>
      </w:r>
      <w:r>
        <w:rPr>
          <w:rFonts w:ascii="Courier New" w:hAnsi="Courier New" w:cs="Courier New"/>
        </w:rPr>
        <w:t xml:space="preserve">ajustar</w:t>
      </w:r>
      <w:r>
        <w:rPr/>
        <w:t xml:space="preserve"> antes de </w:t>
      </w:r>
      <w:r>
        <w:rPr>
          <w:rFonts w:ascii="Courier New" w:hAnsi="Courier New" w:cs="Courier New"/>
        </w:rPr>
        <w:t xml:space="preserve">transformar</w:t>
      </w:r>
      <w:r>
        <w:rPr/>
        <w:t xml:space="preserve">) y deja a cada hija solo </w:t>
      </w:r>
      <w:r>
        <w:rPr>
          <w:rFonts w:ascii="Courier New" w:hAnsi="Courier New" w:cs="Courier New"/>
        </w:rPr>
        <w:t xml:space="preserve">aprender()</w:t>
      </w:r>
      <w:r>
        <w:rPr/>
        <w:t xml:space="preserve"> y </w:t>
      </w:r>
      <w:r>
        <w:rPr>
          <w:rFonts w:ascii="Courier New" w:hAnsi="Courier New" w:cs="Courier New"/>
        </w:rPr>
        <w:t xml:space="preserve">aplicar()</w:t>
      </w:r>
      <w:r>
        <w:rPr/>
        <w:t xml:space="preserve">. </w:t>
      </w:r>
      <w:r>
        <w:rPr>
          <w:b/>
        </w:rPr>
        <w:t xml:space="preserve">Polimorfismo:</w:t>
      </w:r>
      <w:r>
        <w:rPr/>
        <w:t xml:space="preserve"> </w:t>
      </w:r>
      <w:r>
        <w:rPr>
          <w:rFonts w:ascii="Courier New" w:hAnsi="Courier New" w:cs="Courier New"/>
        </w:rPr>
        <w:t xml:space="preserve">Pipeline</w:t>
      </w:r>
      <w:r>
        <w:rPr/>
        <w:t xml:space="preserve"> recorre sus pasos con la misma llamada, </w:t>
      </w:r>
      <w:r>
        <w:rPr>
          <w:rFonts w:ascii="Courier New" w:hAnsi="Courier New" w:cs="Courier New"/>
        </w:rPr>
        <w:t xml:space="preserve">paso.ajustar(df).transformar(df)</w:t>
      </w:r>
      <w:r>
        <w:rPr/>
        <w:t xml:space="preserve">, sin preguntar de qué clase es cada uno. </w:t>
      </w:r>
      <w:r>
        <w:rPr>
          <w:b/>
        </w:rPr>
        <w:t xml:space="preserve">Encapsulamiento:</w:t>
      </w:r>
      <w:r>
        <w:rPr/>
        <w:t xml:space="preserve"> cada objeto guarda su estado en atributos internos (</w:t>
      </w:r>
      <w:r>
        <w:rPr>
          <w:rFonts w:ascii="Courier New" w:hAnsi="Courier New" w:cs="Courier New"/>
        </w:rPr>
        <w:t xml:space="preserve">_parametros</w:t>
      </w:r>
      <w:r>
        <w:rPr/>
        <w:t xml:space="preserve">, </w:t>
      </w:r>
      <w:r>
        <w:rPr>
          <w:rFonts w:ascii="Courier New" w:hAnsi="Courier New" w:cs="Courier New"/>
        </w:rPr>
        <w:t xml:space="preserve">_ajustado</w:t>
      </w:r>
      <w:r>
        <w:rPr/>
        <w:t xml:space="preserve">) y </w:t>
      </w:r>
      <w:r>
        <w:rPr>
          <w:rFonts w:ascii="Courier New" w:hAnsi="Courier New" w:cs="Courier New"/>
        </w:rPr>
        <w:t xml:space="preserve">transformar</w:t>
      </w:r>
      <w:r>
        <w:rPr/>
        <w:t xml:space="preserve"> lanza </w:t>
      </w:r>
      <w:r>
        <w:rPr>
          <w:rFonts w:ascii="Courier New" w:hAnsi="Courier New" w:cs="Courier New"/>
        </w:rPr>
        <w:t xml:space="preserve">RuntimeError</w:t>
      </w:r>
      <w:r>
        <w:rPr/>
        <w:t xml:space="preserve"> si no se ajustó antes.</w:t>
      </w:r>
    </w:p>
    <w:p>
      <w:pPr>
        <w:ind w:left="0" w:firstLine="567"/>
      </w:pPr>
      <w:r>
        <w:rPr>
          <w:rFonts w:ascii="Courier New" w:hAnsi="Courier New" w:cs="Courier New"/>
        </w:rPr>
        <w:t xml:space="preserve">src/agregacion_temporal.py</w:t>
      </w:r>
      <w:r>
        <w:rPr/>
        <w:t xml:space="preserve"> aplica el patrón </w:t>
      </w:r>
      <w:r>
        <w:rPr>
          <w:i/>
        </w:rPr>
        <w:t xml:space="preserve">Strategy</w:t>
      </w:r>
      <w:r>
        <w:rP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r>
        <w:rPr>
          <w:rFonts w:ascii="Courier New" w:hAnsi="Courier New" w:cs="Courier New"/>
        </w:rPr>
        <w:t xml:space="preserve">agregar()</w:t>
      </w:r>
      <w:r>
        <w:rPr/>
        <w:t xml:space="preserve"> (</w:t>
      </w:r>
      <w:r>
        <w:rPr>
          <w:rFonts w:ascii="Courier New" w:hAnsi="Courier New" w:cs="Courier New"/>
        </w:rPr>
        <w:t xml:space="preserve">AgregacionHoraria</w:t>
      </w:r>
      <w:r>
        <w:rPr/>
        <w:t xml:space="preserve">, </w:t>
      </w:r>
      <w:r>
        <w:rPr>
          <w:rFonts w:ascii="Courier New" w:hAnsi="Courier New" w:cs="Courier New"/>
        </w:rPr>
        <w:t xml:space="preserve">AgregacionDiaria</w:t>
      </w:r>
      <w:r>
        <w:rPr/>
        <w:t xml:space="preserve">, </w:t>
      </w:r>
      <w:r>
        <w:rPr>
          <w:rFonts w:ascii="Courier New" w:hAnsi="Courier New" w:cs="Courier New"/>
        </w:rPr>
        <w:t xml:space="preserve">AgregacionMensual</w:t>
      </w:r>
      <w:r>
        <w:rPr/>
        <w:t xml:space="preserve"> y </w:t>
      </w:r>
      <w:r>
        <w:rPr>
          <w:rFonts w:ascii="Courier New" w:hAnsi="Courier New" w:cs="Courier New"/>
        </w:rPr>
        <w:t xml:space="preserve">AgregacionPorDiaSemana</w:t>
      </w:r>
      <w:r>
        <w:rPr/>
        <w:t xml:space="preserve">; 72, 729, 24 y 21 resultados) y </w:t>
      </w:r>
      <w:r>
        <w:rPr>
          <w:rFonts w:ascii="Courier New" w:hAnsi="Courier New" w:cs="Courier New"/>
        </w:rPr>
        <w:t xml:space="preserve">CaracterizadorTemporal</w:t>
      </w:r>
      <w:r>
        <w:rPr/>
        <w:t xml:space="preserve"> las usa de forma intercambiable sin conocerlas.</w:t>
      </w:r>
    </w:p>
    <w:p w14:paraId="41246B42" w14:textId="77777777" w:rsidR="00940530" w:rsidRPr="00673CF5" w:rsidRDefault="00575328" w:rsidP="001753FD">
      <w:pPr>
        <w:pStyle w:val="Ttulo2"/>
        <w:ind w:left="720"/>
      </w:pPr>
      <w:bookmarkStart w:id="22" w:name="_Toc241865083"/>
      <w:r w:rsidRPr="00673CF5">
        <w:t>b. Documentación de arquitectura</w:t>
      </w:r>
      <w:bookmarkEnd w:id="22"/>
    </w:p>
    <w:p>
      <w:pPr>
        <w:ind w:left="0" w:firstLine="567"/>
      </w:pPr>
      <w:r>
        <w:rPr/>
        <w:t xml:space="preserve">La Tabla 2 resume la arquitectura. Los notebooks importan desde </w:t>
      </w:r>
      <w:r>
        <w:rPr>
          <w:rFonts w:ascii="Courier New" w:hAnsi="Courier New" w:cs="Courier New"/>
        </w:rPr>
        <w:t xml:space="preserve">src/</w:t>
      </w:r>
      <w:r>
        <w:rPr/>
        <w:t xml:space="preserve"> y ningún módulo depende de un notebook; los datos fluyen de </w:t>
      </w:r>
      <w:r>
        <w:rPr>
          <w:rFonts w:ascii="Courier New" w:hAnsi="Courier New" w:cs="Courier New"/>
        </w:rPr>
        <w:t xml:space="preserve">data/raw</w:t>
      </w:r>
      <w:r>
        <w:rPr/>
        <w:t xml:space="preserve"> al </w:t>
      </w:r>
      <w:r>
        <w:rPr>
          <w:i/>
        </w:rPr>
        <w:t xml:space="preserve">Pipeline</w:t>
      </w:r>
      <w:r>
        <w:rPr/>
        <w:t xml:space="preserve">, luego a la validación, a </w:t>
      </w:r>
      <w:r>
        <w:rPr>
          <w:rFonts w:ascii="Courier New" w:hAnsi="Courier New" w:cs="Courier New"/>
        </w:rPr>
        <w:t xml:space="preserve">data/processed</w:t>
      </w:r>
      <w:r>
        <w:rPr/>
        <w:t xml:space="preserve"> y finalmente a las agregaciones y figuras.</w:t>
      </w:r>
    </w:p>
    <w:p>
      <w:pPr>
        <w:keepNext/>
        <w:spacing w:before="80" w:after="60"/>
        <w:ind w:left="0" w:firstLine="0"/>
        <w:jc w:val="left"/>
      </w:pPr>
      <w:r>
        <w:rPr>
          <w:b/>
          <w:sz w:val="19"/>
          <w:szCs w:val="19"/>
        </w:rPr>
        <w:t xml:space="preserve">Tabla 2. Arquitectura del paquete </w:t>
      </w:r>
      <w:r>
        <w:rPr>
          <w:b/>
          <w:rFonts w:ascii="Courier New" w:hAnsi="Courier New" w:cs="Courier New"/>
          <w:sz w:val="19"/>
          <w:szCs w:val="19"/>
        </w:rPr>
        <w:t xml:space="preserve">src/</w:t>
      </w:r>
    </w:p>
    <w:tbl>
      <w:tblPr>
        <w:tblStyle w:val="Tabladecuadrcula4-nfasis1"/>
        <w:tblW w:w="10380" w:type="dxa"/>
        <w:tblLayout w:type="fixed"/>
        <w:tblLook w:val="04A0" w:firstRow="1" w:lastRow="0" w:firstColumn="1" w:lastColumn="0" w:noHBand="0" w:noVBand="1"/>
      </w:tblPr>
      <w:tblGrid>
        <w:gridCol w:w="2300"/>
        <w:gridCol w:w="4000"/>
        <w:gridCol w:w="4080"/>
      </w:tblGrid>
      <w:tr>
        <w:trPr>
          <w:cantSplit/>
          <w:tblHeader/>
        </w:trPr>
        <w:tc>
          <w:tcPr>
            <w:tcW w:w="2300" w:type="dxa"/>
            <w:vAlign w:val="center"/>
          </w:tcPr>
          <w:p>
            <w:pPr>
              <w:spacing w:before="20" w:after="20" w:line="240" w:lineRule="auto"/>
              <w:ind w:left="0" w:firstLine="0"/>
              <w:jc w:val="left"/>
            </w:pPr>
            <w:r>
              <w:rPr>
                <w:sz w:val="17"/>
                <w:szCs w:val="17"/>
              </w:rPr>
              <w:t xml:space="preserve">Módulo</w:t>
            </w:r>
          </w:p>
        </w:tc>
        <w:tc>
          <w:tcPr>
            <w:tcW w:w="4000" w:type="dxa"/>
            <w:vAlign w:val="center"/>
          </w:tcPr>
          <w:p>
            <w:pPr>
              <w:spacing w:before="20" w:after="20" w:line="240" w:lineRule="auto"/>
              <w:ind w:left="0" w:firstLine="0"/>
              <w:jc w:val="left"/>
            </w:pPr>
            <w:r>
              <w:rPr>
                <w:sz w:val="17"/>
                <w:szCs w:val="17"/>
              </w:rPr>
              <w:t xml:space="preserve">Responsabilidad</w:t>
            </w:r>
          </w:p>
        </w:tc>
        <w:tc>
          <w:tcPr>
            <w:tcW w:w="4080" w:type="dxa"/>
            <w:vAlign w:val="center"/>
          </w:tcPr>
          <w:p>
            <w:pPr>
              <w:spacing w:before="20" w:after="20" w:line="240" w:lineRule="auto"/>
              <w:ind w:left="0" w:firstLine="0"/>
              <w:jc w:val="left"/>
            </w:pPr>
            <w:r>
              <w:rPr>
                <w:sz w:val="17"/>
                <w:szCs w:val="17"/>
              </w:rPr>
              <w:t xml:space="preserve">Componentes principales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carga.py</w:t>
            </w:r>
          </w:p>
        </w:tc>
        <w:tc>
          <w:tcPr>
            <w:tcW w:w="4000" w:type="dxa"/>
            <w:vAlign w:val="center"/>
          </w:tcPr>
          <w:p>
            <w:pPr>
              <w:spacing w:before="20" w:after="20" w:line="240" w:lineRule="auto"/>
              <w:ind w:left="0" w:firstLine="0"/>
              <w:jc w:val="left"/>
            </w:pPr>
            <w:r>
              <w:rPr>
                <w:sz w:val="17"/>
                <w:szCs w:val="17"/>
              </w:rPr>
              <w:t xml:space="preserve">Lectura del CSV del CEN</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cargar_datos_cen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transformacion.py</w:t>
            </w:r>
          </w:p>
        </w:tc>
        <w:tc>
          <w:tcPr>
            <w:tcW w:w="4000" w:type="dxa"/>
            <w:vAlign w:val="center"/>
          </w:tcPr>
          <w:p>
            <w:pPr>
              <w:spacing w:before="20" w:after="20" w:line="240" w:lineRule="auto"/>
              <w:ind w:left="0" w:firstLine="0"/>
              <w:jc w:val="left"/>
            </w:pPr>
            <w:r>
              <w:rPr>
                <w:sz w:val="17"/>
                <w:szCs w:val="17"/>
              </w:rPr>
              <w:t xml:space="preserve">Conversión numérica y ancho → largo</w:t>
            </w:r>
          </w:p>
        </w:tc>
        <w:tc>
          <w:tcPr>
            <w:tcW w:w="4080" w:type="dxa"/>
            <w:vAlign w:val="center"/>
          </w:tcPr>
          <w:p>
            <w:pPr>
              <w:spacing w:before="20" w:after="20" w:line="240" w:lineRule="auto"/>
              <w:ind w:left="0" w:firstLine="0"/>
              <w:jc w:val="left"/>
            </w:pPr>
            <w:r>
              <w:rPr>
                <w:sz w:val="17"/>
                <w:szCs w:val="17"/>
              </w:rPr>
              <w:t xml:space="preserve">Funciones de transformación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validacion.py</w:t>
            </w:r>
          </w:p>
        </w:tc>
        <w:tc>
          <w:tcPr>
            <w:tcW w:w="4000" w:type="dxa"/>
            <w:vAlign w:val="center"/>
          </w:tcPr>
          <w:p>
            <w:pPr>
              <w:spacing w:before="20" w:after="20" w:line="240" w:lineRule="auto"/>
              <w:ind w:left="0" w:firstLine="0"/>
              <w:jc w:val="left"/>
            </w:pPr>
            <w:r>
              <w:rPr>
                <w:sz w:val="17"/>
                <w:szCs w:val="17"/>
              </w:rPr>
              <w:t xml:space="preserve">Reglas de calidad atómicas y parametrizables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validar_sin_nulos</w:t>
            </w:r>
            <w:r>
              <w:rPr>
                <w:sz w:val="17"/>
                <w:szCs w:val="17"/>
              </w:rPr>
              <w:t xml:space="preserve">, </w:t>
            </w:r>
            <w:r>
              <w:rPr>
                <w:rFonts w:ascii="Courier New" w:hAnsi="Courier New" w:cs="Courier New"/>
                <w:sz w:val="17"/>
                <w:szCs w:val="17"/>
              </w:rPr>
              <w:t xml:space="preserve">validar_no_negativos</w:t>
            </w:r>
            <w:r>
              <w:rPr>
                <w:sz w:val="17"/>
                <w:szCs w:val="17"/>
              </w:rPr>
              <w:t xml:space="preserve">, …</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nucleo_poo.py</w:t>
            </w:r>
          </w:p>
        </w:tc>
        <w:tc>
          <w:tcPr>
            <w:tcW w:w="4000" w:type="dxa"/>
            <w:vAlign w:val="center"/>
          </w:tcPr>
          <w:p>
            <w:pPr>
              <w:spacing w:before="20" w:after="20" w:line="240" w:lineRule="auto"/>
              <w:ind w:left="0" w:firstLine="0"/>
              <w:jc w:val="left"/>
            </w:pPr>
            <w:r>
              <w:rPr>
                <w:sz w:val="17"/>
                <w:szCs w:val="17"/>
              </w:rPr>
              <w:t xml:space="preserve">Preparación orientada a objetos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Transformador</w:t>
            </w:r>
            <w:r>
              <w:rPr>
                <w:sz w:val="17"/>
                <w:szCs w:val="17"/>
              </w:rPr>
              <w:t xml:space="preserve"> y subclases, </w:t>
            </w:r>
            <w:r>
              <w:rPr>
                <w:rFonts w:ascii="Courier New" w:hAnsi="Courier New" w:cs="Courier New"/>
                <w:sz w:val="17"/>
                <w:szCs w:val="17"/>
              </w:rPr>
              <w:t xml:space="preserve">Pipeline</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agregacion_temporal.py</w:t>
            </w:r>
          </w:p>
        </w:tc>
        <w:tc>
          <w:tcPr>
            <w:tcW w:w="4000" w:type="dxa"/>
            <w:vAlign w:val="center"/>
          </w:tcPr>
          <w:p>
            <w:pPr>
              <w:spacing w:before="20" w:after="20" w:line="240" w:lineRule="auto"/>
              <w:ind w:left="0" w:firstLine="0"/>
              <w:jc w:val="left"/>
            </w:pPr>
            <w:r>
              <w:rPr>
                <w:sz w:val="17"/>
                <w:szCs w:val="17"/>
              </w:rPr>
              <w:t xml:space="preserve">Agregaciones intercambiables (</w:t>
            </w:r>
            <w:r>
              <w:rPr>
                <w:i/>
                <w:sz w:val="17"/>
                <w:szCs w:val="17"/>
              </w:rPr>
              <w:t xml:space="preserve">Strategy</w:t>
            </w:r>
            <w:r>
              <w:rPr>
                <w:sz w:val="17"/>
                <w:szCs w:val="17"/>
              </w:rPr>
              <w:t xml:space="preserve">)</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Agregacion*</w:t>
            </w:r>
            <w:r>
              <w:rPr>
                <w:sz w:val="17"/>
                <w:szCs w:val="17"/>
              </w:rPr>
              <w:t xml:space="preserve">, </w:t>
            </w:r>
            <w:r>
              <w:rPr>
                <w:rFonts w:ascii="Courier New" w:hAnsi="Courier New" w:cs="Courier New"/>
                <w:sz w:val="17"/>
                <w:szCs w:val="17"/>
              </w:rPr>
              <w:t xml:space="preserve">CaracterizadorTemporal</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secuencias.py</w:t>
            </w:r>
          </w:p>
        </w:tc>
        <w:tc>
          <w:tcPr>
            <w:tcW w:w="4000" w:type="dxa"/>
            <w:vAlign w:val="center"/>
          </w:tcPr>
          <w:p>
            <w:pPr>
              <w:spacing w:before="20" w:after="20" w:line="240" w:lineRule="auto"/>
              <w:ind w:left="0" w:firstLine="0"/>
              <w:jc w:val="left"/>
            </w:pPr>
            <w:r>
              <w:rPr>
                <w:sz w:val="17"/>
                <w:szCs w:val="17"/>
              </w:rPr>
              <w:t xml:space="preserve">Secuencias de 0 MWh (iterativa y recursiva)</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secuencias_cero_*</w:t>
            </w:r>
            <w:r>
              <w:rPr>
                <w:sz w:val="17"/>
                <w:szCs w:val="17"/>
              </w:rPr>
              <w:t xml:space="preserve">, </w:t>
            </w:r>
            <w:r>
              <w:rPr>
                <w:rFonts w:ascii="Courier New" w:hAnsi="Courier New" w:cs="Courier New"/>
                <w:sz w:val="17"/>
                <w:szCs w:val="17"/>
              </w:rPr>
              <w:t xml:space="preserve">comparar_implementaciones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exportacion.py</w:t>
            </w:r>
          </w:p>
        </w:tc>
        <w:tc>
          <w:tcPr>
            <w:tcW w:w="4000" w:type="dxa"/>
            <w:vAlign w:val="center"/>
          </w:tcPr>
          <w:p>
            <w:pPr>
              <w:spacing w:before="20" w:after="20" w:line="240" w:lineRule="auto"/>
              <w:ind w:left="0" w:firstLine="0"/>
              <w:jc w:val="left"/>
            </w:pPr>
            <w:r>
              <w:rPr>
                <w:sz w:val="17"/>
                <w:szCs w:val="17"/>
              </w:rPr>
              <w:t xml:space="preserve">Escritura del dataset procesado</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exportar_dataset</w:t>
            </w:r>
          </w:p>
        </w:tc>
      </w:tr>
    </w:tbl>
    <w:p>
      <w:pPr>
        <w:spacing w:before="0" w:after="120"/>
        <w:ind w:left="0" w:firstLine="0"/>
        <w:jc w:val="left"/>
      </w:pPr>
      <w:r>
        <w:rPr>
          <w:i/>
          <w:sz w:val="17"/>
          <w:szCs w:val="17"/>
        </w:rPr>
        <w:t xml:space="preserve">Fuente: elaboración propia a partir del repositorio del proyecto.</w:t>
      </w:r>
    </w:p>
    <w:p w14:paraId="2EF17CA9" w14:textId="77777777" w:rsidR="00940530" w:rsidRPr="00673CF5" w:rsidRDefault="00575328" w:rsidP="001753FD">
      <w:pPr>
        <w:pStyle w:val="Ttulo1"/>
      </w:pPr>
      <w:bookmarkStart w:id="23" w:name="_Toc241865084"/>
      <w:r w:rsidRPr="00673CF5">
        <w:t xml:space="preserve">VII. Construcción de visualizaciones de datos </w:t>
      </w:r>
      <w:r w:rsidRPr="00673CF5">
        <w:t>efectivas</w:t>
      </w:r>
      <w:bookmarkEnd w:id="23"/>
    </w:p>
    <w:p w14:paraId="01483305" w14:textId="77777777" w:rsidR="00940530" w:rsidRPr="00673CF5" w:rsidRDefault="00575328" w:rsidP="001753FD">
      <w:pPr>
        <w:pStyle w:val="Ttulo2"/>
        <w:ind w:left="720"/>
      </w:pPr>
      <w:bookmarkStart w:id="24" w:name="_Toc241865085"/>
      <w:r w:rsidRPr="00673CF5">
        <w:t>a. Preprocesamiento y transformación de datos</w:t>
      </w:r>
      <w:bookmarkEnd w:id="24"/>
    </w:p>
    <w:p>
      <w:pPr>
        <w:ind w:left="0" w:firstLine="567"/>
      </w:pPr>
      <w:r>
        <w:rP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 xml:space="preserve">agregacion_temporal.py</w:t>
      </w:r>
      <w:r>
        <w:rPr/>
        <w:t xml:space="preserve"> y se verificó que conservan el total de MWh. Se usan medias para comparar centrales de escala distinta, los ejes parten en cero y los registros de 0 MWh se muestran, no se excluyen. No se aplicó codificación ni escalamiento, por lo que el dataset conserva las categorías (central, mes, día) y la unidad original (MWh) y sirve directamente para graficar, sin necesidad de una copia aparte.</w:t>
      </w:r>
    </w:p>
    <w:p w14:paraId="49D9EF34" w14:textId="77777777" w:rsidR="00940530" w:rsidRPr="00673CF5" w:rsidRDefault="00575328" w:rsidP="001753FD">
      <w:pPr>
        <w:pStyle w:val="Ttulo2"/>
        <w:ind w:left="720"/>
      </w:pPr>
      <w:bookmarkStart w:id="25" w:name="_Toc241865086"/>
      <w:r w:rsidRPr="00673CF5">
        <w:t>b. Visualizaciones analíticas</w:t>
      </w:r>
      <w:bookmarkEnd w:id="25"/>
    </w:p>
    <w:p>
      <w:pPr>
        <w:ind w:left="0" w:firstLine="567"/>
      </w:pPr>
      <w:r>
        <w:rPr/>
        <w:t xml:space="preserve">El notebook F4 contiene cinco figuras (horaria, diaria, mensual, por día de la semana y ceros); aquí se muestran las tres que sustentan los resultados. Cada título enuncia el hallazgo, los colores son consistentes por central y cada figura declara su fuente.</w:t>
      </w:r>
    </w:p>
    <w:p>
      <w:pPr>
        <w:keepNext/>
        <w:spacing w:after="0"/>
        <w:ind w:firstLine="0"/>
        <w:jc w:val="center"/>
      </w:pPr>
      <w:r>
        <w:drawing>
          <wp:inline xmlns:a="http://schemas.openxmlformats.org/drawingml/2006/main" xmlns:pic="http://schemas.openxmlformats.org/drawingml/2006/picture">
            <wp:extent cx="4818888" cy="1858714"/>
            <wp:docPr id="12" name="Picture 12"/>
            <wp:cNvGraphicFramePr>
              <a:graphicFrameLocks noChangeAspect="1"/>
            </wp:cNvGraphicFramePr>
            <a:graphic>
              <a:graphicData uri="http://schemas.openxmlformats.org/drawingml/2006/picture">
                <pic:pic>
                  <pic:nvPicPr>
                    <pic:cNvPr id="0" name="fig1.png"/>
                    <pic:cNvPicPr/>
                  </pic:nvPicPr>
                  <pic:blipFill>
                    <a:blip r:embed="rId27"/>
                    <a:stretch>
                      <a:fillRect/>
                    </a:stretch>
                  </pic:blipFill>
                  <pic:spPr>
                    <a:xfrm>
                      <a:off x="0" y="0"/>
                      <a:ext cx="4818888" cy="1858714"/>
                    </a:xfrm>
                    <a:prstGeom prst="rect"/>
                  </pic:spPr>
                </pic:pic>
              </a:graphicData>
            </a:graphic>
          </wp:inline>
        </w:drawing>
      </w:r>
    </w:p>
    <w:p>
      <w:pPr>
        <w:spacing w:before="0" w:after="20" w:line="240" w:lineRule="auto"/>
        <w:ind w:left="0" w:firstLine="0"/>
        <w:jc w:val="left"/>
      </w:pPr>
      <w:r>
        <w:rPr>
          <w:i/>
          <w:sz w:val="17"/>
          <w:szCs w:val="17"/>
        </w:rPr>
        <w:t xml:space="preserve">Figura 1. Perfil horario medio de generación por central. Fuente: elaboración propia con datos de Generación Real del CEN (2026), enero–agosto de 2026.</w:t>
      </w:r>
    </w:p>
    <w:p>
      <w:pPr>
        <w:spacing w:before="20" w:after="60" w:line="240" w:lineRule="auto"/>
        <w:jc w:val="both"/>
      </w:pPr>
      <w:r>
        <w:rPr>
          <w:rFonts w:ascii="Arial" w:hAnsi="Arial"/>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inyectada informada por el CEN entre enero y agosto de 2026 y no permite atribuir causas operacionales. Como contexto del relato, este resultado orienta el análisis hacia una escala temporal mayor: la comparación mensual de la Figura 2.</w:t>
      </w:r>
    </w:p>
    <w:p>
      <w:pPr>
        <w:keepNext/>
        <w:spacing w:after="0"/>
        <w:ind w:firstLine="0"/>
        <w:jc w:val="center"/>
      </w:pPr>
      <w:r>
        <w:drawing>
          <wp:inline xmlns:a="http://schemas.openxmlformats.org/drawingml/2006/main" xmlns:pic="http://schemas.openxmlformats.org/drawingml/2006/picture">
            <wp:extent cx="4818888" cy="1858714"/>
            <wp:docPr id="12" name="Picture 12"/>
            <wp:cNvGraphicFramePr>
              <a:graphicFrameLocks noChangeAspect="1"/>
            </wp:cNvGraphicFramePr>
            <a:graphic>
              <a:graphicData uri="http://schemas.openxmlformats.org/drawingml/2006/picture">
                <pic:pic>
                  <pic:nvPicPr>
                    <pic:cNvPr id="0" name="fig2.png"/>
                    <pic:cNvPicPr/>
                  </pic:nvPicPr>
                  <pic:blipFill>
                    <a:blip r:embed="rId28"/>
                    <a:stretch>
                      <a:fillRect/>
                    </a:stretch>
                  </pic:blipFill>
                  <pic:spPr>
                    <a:xfrm>
                      <a:off x="0" y="0"/>
                      <a:ext cx="4818888" cy="1858714"/>
                    </a:xfrm>
                    <a:prstGeom prst="rect"/>
                  </pic:spPr>
                </pic:pic>
              </a:graphicData>
            </a:graphic>
          </wp:inline>
        </w:drawing>
      </w:r>
    </w:p>
    <w:p>
      <w:pPr>
        <w:spacing w:before="0" w:after="20" w:line="240" w:lineRule="auto"/>
        <w:ind w:left="0" w:firstLine="0"/>
        <w:jc w:val="left"/>
      </w:pPr>
      <w:r>
        <w:rPr>
          <w:i/>
          <w:sz w:val="17"/>
          <w:szCs w:val="17"/>
        </w:rPr>
        <w:t xml:space="preserve">Figura 2. Generación media mensual por central. Fuente: elaboración propia con datos del CEN (2026).</w:t>
      </w:r>
    </w:p>
    <w:p>
      <w:pPr>
        <w:spacing w:before="20" w:after="60" w:line="240" w:lineRule="auto"/>
        <w:jc w:val="both"/>
      </w:pPr>
      <w:r>
        <w:rPr>
          <w:rFonts w:ascii="Arial" w:hAnsi="Arial"/>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pPr>
        <w:keepNext/>
        <w:spacing w:after="0"/>
        <w:ind w:firstLine="0"/>
        <w:jc w:val="center"/>
      </w:pPr>
      <w:r>
        <w:drawing>
          <wp:inline xmlns:a="http://schemas.openxmlformats.org/drawingml/2006/main" xmlns:pic="http://schemas.openxmlformats.org/drawingml/2006/picture">
            <wp:extent cx="4818888" cy="1445666"/>
            <wp:docPr id="12" name="Picture 12"/>
            <wp:cNvGraphicFramePr>
              <a:graphicFrameLocks noChangeAspect="1"/>
            </wp:cNvGraphicFramePr>
            <a:graphic>
              <a:graphicData uri="http://schemas.openxmlformats.org/drawingml/2006/picture">
                <pic:pic>
                  <pic:nvPicPr>
                    <pic:cNvPr id="0" name="fig3.png"/>
                    <pic:cNvPicPr/>
                  </pic:nvPicPr>
                  <pic:blipFill>
                    <a:blip r:embed="rId29"/>
                    <a:stretch>
                      <a:fillRect/>
                    </a:stretch>
                  </pic:blipFill>
                  <pic:spPr>
                    <a:xfrm>
                      <a:off x="0" y="0"/>
                      <a:ext cx="4818888" cy="1445666"/>
                    </a:xfrm>
                    <a:prstGeom prst="rect"/>
                  </pic:spPr>
                </pic:pic>
              </a:graphicData>
            </a:graphic>
          </wp:inline>
        </w:drawing>
      </w:r>
    </w:p>
    <w:p>
      <w:pPr>
        <w:spacing w:before="0" w:after="20" w:line="240" w:lineRule="auto"/>
        <w:ind w:left="0" w:firstLine="0"/>
        <w:jc w:val="left"/>
      </w:pPr>
      <w:r>
        <w:rPr>
          <w:i/>
          <w:sz w:val="17"/>
          <w:szCs w:val="17"/>
        </w:rPr>
        <w:t xml:space="preserve">Figura 3. Porcentaje de horas con 0 MWh por central y mes. Fuente: elaboración propia con datos del CEN (2026).</w:t>
      </w:r>
    </w:p>
    <w:p>
      <w:pPr>
        <w:spacing w:before="20" w:after="60" w:line="240" w:lineRule="auto"/>
        <w:jc w:val="both"/>
      </w:pPr>
      <w:r>
        <w:rPr>
          <w:rFonts w:ascii="Arial" w:hAnsi="Arial"/>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4034468" w14:textId="77777777" w:rsidR="00940530" w:rsidRPr="00673CF5" w:rsidRDefault="00575328" w:rsidP="001753FD">
      <w:pPr>
        <w:pStyle w:val="Ttulo1"/>
      </w:pPr>
      <w:bookmarkStart w:id="26" w:name="_Toc241865087"/>
      <w:r w:rsidRPr="00673CF5">
        <w:t>VIII. Metodología del desarrollo técnico</w:t>
      </w:r>
      <w:bookmarkEnd w:id="26"/>
    </w:p>
    <w:p w14:paraId="7C642544" w14:textId="77777777" w:rsidR="00940530" w:rsidRPr="00673CF5" w:rsidRDefault="00575328" w:rsidP="001753FD">
      <w:pPr>
        <w:pStyle w:val="Ttulo2"/>
        <w:ind w:left="720"/>
      </w:pPr>
      <w:bookmarkStart w:id="27" w:name="_Toc241865088"/>
      <w:r w:rsidRPr="00673CF5">
        <w:t>a. Validación y reflexión técnica</w:t>
      </w:r>
      <w:bookmarkEnd w:id="27"/>
    </w:p>
    <w:p>
      <w:pPr>
        <w:ind w:left="0" w:firstLine="567"/>
      </w:pPr>
      <w:r>
        <w:rPr/>
        <w:t xml:space="preserve">La validación técnica combinó la equivalencia entre F2 y F3, la conservación de totales en las agregaciones y las pruebas de casos normales, límite y excepción. Entre las limitaciones, el período cubre ocho meses (no permite evaluar estacionalidad anual), los valores corresponden a generación inyectada al sistema según el CEN y no a la producción total de cada planta, y los datos no incluyen información operacional que explique los registros de 0 MWh. Como aprendizaje, mover la lógica desde los notebooks a </w:t>
      </w:r>
      <w:r>
        <w:rPr>
          <w:rFonts w:ascii="Courier New" w:hAnsi="Courier New" w:cs="Courier New"/>
        </w:rPr>
        <w:t xml:space="preserve">src/</w:t>
      </w:r>
      <w:r>
        <w:rPr/>
        <w:t xml:space="preserve"> y probar reglas atómicas redujo la duplicación y facilitó detectar errores.</w:t>
      </w:r>
    </w:p>
    <w:p>
      <w:pPr>
        <w:keepNext/>
        <w:spacing w:before="80" w:after="60"/>
        <w:ind w:left="0" w:firstLine="0"/>
        <w:jc w:val="left"/>
      </w:pPr>
      <w:r>
        <w:rPr>
          <w:b/>
          <w:sz w:val="19"/>
          <w:szCs w:val="19"/>
        </w:rPr>
        <w:t xml:space="preserve">Tabla 3. Comparación con las fases previas</w:t>
      </w:r>
    </w:p>
    <w:tbl>
      <w:tblPr>
        <w:tblStyle w:val="Tabladecuadrcula4-nfasis1"/>
        <w:tblW w:w="10380" w:type="dxa"/>
        <w:tblLayout w:type="fixed"/>
        <w:tblLook w:val="04A0" w:firstRow="1" w:lastRow="0" w:firstColumn="1" w:lastColumn="0" w:noHBand="0" w:noVBand="1"/>
      </w:tblPr>
      <w:tblGrid>
        <w:gridCol w:w="1500"/>
        <w:gridCol w:w="2900"/>
        <w:gridCol w:w="3300"/>
        <w:gridCol w:w="2680"/>
      </w:tblGrid>
      <w:tr>
        <w:trPr>
          <w:cantSplit/>
          <w:tblHeader/>
        </w:trPr>
        <w:tc>
          <w:tcPr>
            <w:tcW w:w="1500" w:type="dxa"/>
            <w:vAlign w:val="center"/>
          </w:tcPr>
          <w:p>
            <w:pPr>
              <w:spacing w:before="20" w:after="20" w:line="240" w:lineRule="auto"/>
              <w:ind w:left="0" w:firstLine="0"/>
              <w:jc w:val="left"/>
            </w:pPr>
            <w:r>
              <w:rPr>
                <w:sz w:val="17"/>
                <w:szCs w:val="17"/>
              </w:rPr>
              <w:t xml:space="preserve">Aspecto</w:t>
            </w:r>
          </w:p>
        </w:tc>
        <w:tc>
          <w:tcPr>
            <w:tcW w:w="2900" w:type="dxa"/>
            <w:vAlign w:val="center"/>
          </w:tcPr>
          <w:p>
            <w:pPr>
              <w:spacing w:before="20" w:after="20" w:line="240" w:lineRule="auto"/>
              <w:ind w:left="0" w:firstLine="0"/>
              <w:jc w:val="left"/>
            </w:pPr>
            <w:r>
              <w:rPr>
                <w:sz w:val="17"/>
                <w:szCs w:val="17"/>
              </w:rPr>
              <w:t xml:space="preserve">Fase previa</w:t>
            </w:r>
          </w:p>
        </w:tc>
        <w:tc>
          <w:tcPr>
            <w:tcW w:w="3300" w:type="dxa"/>
            <w:vAlign w:val="center"/>
          </w:tcPr>
          <w:p>
            <w:pPr>
              <w:spacing w:before="20" w:after="20" w:line="240" w:lineRule="auto"/>
              <w:ind w:left="0" w:firstLine="0"/>
              <w:jc w:val="left"/>
            </w:pPr>
            <w:r>
              <w:rPr>
                <w:sz w:val="17"/>
                <w:szCs w:val="17"/>
              </w:rPr>
              <w:t xml:space="preserve">Estado actual</w:t>
            </w:r>
          </w:p>
        </w:tc>
        <w:tc>
          <w:tcPr>
            <w:tcW w:w="2680" w:type="dxa"/>
            <w:vAlign w:val="center"/>
          </w:tcPr>
          <w:p>
            <w:pPr>
              <w:spacing w:before="20" w:after="20" w:line="240" w:lineRule="auto"/>
              <w:ind w:left="0" w:firstLine="0"/>
              <w:jc w:val="left"/>
            </w:pPr>
            <w:r>
              <w:rPr>
                <w:sz w:val="17"/>
                <w:szCs w:val="17"/>
              </w:rPr>
              <w:t xml:space="preserve">Motivo del cambio</w:t>
            </w:r>
          </w:p>
        </w:tc>
      </w:tr>
      <w:tr>
        <w:trPr>
          <w:cantSplit/>
        </w:trPr>
        <w:tc>
          <w:tcPr>
            <w:tcW w:w="1500" w:type="dxa"/>
            <w:vAlign w:val="center"/>
          </w:tcPr>
          <w:p>
            <w:pPr>
              <w:spacing w:before="20" w:after="20" w:line="240" w:lineRule="auto"/>
              <w:ind w:left="0" w:firstLine="0"/>
              <w:jc w:val="left"/>
            </w:pPr>
            <w:r>
              <w:rPr>
                <w:sz w:val="17"/>
                <w:szCs w:val="17"/>
              </w:rPr>
              <w:t xml:space="preserve">Preparación</w:t>
            </w:r>
          </w:p>
        </w:tc>
        <w:tc>
          <w:tcPr>
            <w:tcW w:w="2900" w:type="dxa"/>
            <w:vAlign w:val="center"/>
          </w:tcPr>
          <w:p>
            <w:pPr>
              <w:spacing w:before="20" w:after="20" w:line="240" w:lineRule="auto"/>
              <w:ind w:left="0" w:firstLine="0"/>
              <w:jc w:val="left"/>
            </w:pPr>
            <w:r>
              <w:rPr>
                <w:sz w:val="17"/>
                <w:szCs w:val="17"/>
              </w:rPr>
              <w:t xml:space="preserve">Funciones sueltas en el notebook de F2</w:t>
            </w:r>
          </w:p>
        </w:tc>
        <w:tc>
          <w:tcPr>
            <w:tcW w:w="3300" w:type="dxa"/>
            <w:vAlign w:val="center"/>
          </w:tcPr>
          <w:p>
            <w:pPr>
              <w:spacing w:before="20" w:after="20" w:line="240" w:lineRule="auto"/>
              <w:ind w:left="0" w:firstLine="0"/>
              <w:jc w:val="left"/>
            </w:pPr>
            <w:r>
              <w:rPr>
                <w:sz w:val="17"/>
                <w:szCs w:val="17"/>
              </w:rPr>
              <w:t xml:space="preserve">Clases y </w:t>
            </w:r>
            <w:r>
              <w:rPr>
                <w:rFonts w:ascii="Courier New" w:hAnsi="Courier New" w:cs="Courier New"/>
                <w:sz w:val="17"/>
                <w:szCs w:val="17"/>
              </w:rPr>
              <w:t xml:space="preserve">Pipeline</w:t>
            </w:r>
            <w:r>
              <w:rPr>
                <w:sz w:val="17"/>
                <w:szCs w:val="17"/>
              </w:rPr>
              <w:t xml:space="preserve"> en </w:t>
            </w:r>
            <w:r>
              <w:rPr>
                <w:rFonts w:ascii="Courier New" w:hAnsi="Courier New" w:cs="Courier New"/>
                <w:sz w:val="17"/>
                <w:szCs w:val="17"/>
              </w:rPr>
              <w:t xml:space="preserve">src/</w:t>
            </w:r>
            <w:r>
              <w:rPr>
                <w:sz w:val="17"/>
                <w:szCs w:val="17"/>
              </w:rPr>
              <w:t xml:space="preserve">, con equivalencia verificada</w:t>
            </w:r>
          </w:p>
        </w:tc>
        <w:tc>
          <w:tcPr>
            <w:tcW w:w="2680" w:type="dxa"/>
            <w:vAlign w:val="center"/>
          </w:tcPr>
          <w:p>
            <w:pPr>
              <w:spacing w:before="20" w:after="20" w:line="240" w:lineRule="auto"/>
              <w:ind w:left="0" w:firstLine="0"/>
              <w:jc w:val="left"/>
            </w:pPr>
            <w:r>
              <w:rPr>
                <w:sz w:val="17"/>
                <w:szCs w:val="17"/>
              </w:rPr>
              <w:t xml:space="preserve">Modularidad y reutilización</w:t>
            </w:r>
          </w:p>
        </w:tc>
      </w:tr>
      <w:tr>
        <w:trPr>
          <w:cantSplit/>
        </w:trPr>
        <w:tc>
          <w:tcPr>
            <w:tcW w:w="1500" w:type="dxa"/>
            <w:vAlign w:val="center"/>
          </w:tcPr>
          <w:p>
            <w:pPr>
              <w:spacing w:before="20" w:after="20" w:line="240" w:lineRule="auto"/>
              <w:ind w:left="0" w:firstLine="0"/>
              <w:jc w:val="left"/>
            </w:pPr>
            <w:r>
              <w:rPr>
                <w:sz w:val="17"/>
                <w:szCs w:val="17"/>
              </w:rPr>
              <w:t xml:space="preserve">Validación</w:t>
            </w:r>
          </w:p>
        </w:tc>
        <w:tc>
          <w:tcPr>
            <w:tcW w:w="2900" w:type="dxa"/>
            <w:vAlign w:val="center"/>
          </w:tcPr>
          <w:p>
            <w:pPr>
              <w:spacing w:before="20" w:after="20" w:line="240" w:lineRule="auto"/>
              <w:ind w:left="0" w:firstLine="0"/>
              <w:jc w:val="left"/>
            </w:pPr>
            <w:r>
              <w:rPr>
                <w:sz w:val="17"/>
                <w:szCs w:val="17"/>
              </w:rPr>
              <w:t xml:space="preserve">Una función con valores rígidos</w:t>
            </w:r>
          </w:p>
        </w:tc>
        <w:tc>
          <w:tcPr>
            <w:tcW w:w="3300" w:type="dxa"/>
            <w:vAlign w:val="center"/>
          </w:tcPr>
          <w:p>
            <w:pPr>
              <w:spacing w:before="20" w:after="20" w:line="240" w:lineRule="auto"/>
              <w:ind w:left="0" w:firstLine="0"/>
              <w:jc w:val="left"/>
            </w:pPr>
            <w:r>
              <w:rPr>
                <w:sz w:val="17"/>
                <w:szCs w:val="17"/>
              </w:rPr>
              <w:t xml:space="preserve">Reglas atómicas y parametrizables</w:t>
            </w:r>
          </w:p>
        </w:tc>
        <w:tc>
          <w:tcPr>
            <w:tcW w:w="2680" w:type="dxa"/>
            <w:vAlign w:val="center"/>
          </w:tcPr>
          <w:p>
            <w:pPr>
              <w:spacing w:before="20" w:after="20" w:line="240" w:lineRule="auto"/>
              <w:ind w:left="0" w:firstLine="0"/>
              <w:jc w:val="left"/>
            </w:pPr>
            <w:r>
              <w:rPr>
                <w:sz w:val="17"/>
                <w:szCs w:val="17"/>
              </w:rPr>
              <w:t xml:space="preserve">Probar cada regla por separado</w:t>
            </w:r>
          </w:p>
        </w:tc>
      </w:tr>
      <w:tr>
        <w:trPr>
          <w:cantSplit/>
        </w:trPr>
        <w:tc>
          <w:tcPr>
            <w:tcW w:w="1500" w:type="dxa"/>
            <w:vAlign w:val="center"/>
          </w:tcPr>
          <w:p>
            <w:pPr>
              <w:spacing w:before="20" w:after="20" w:line="240" w:lineRule="auto"/>
              <w:ind w:left="0" w:firstLine="0"/>
              <w:jc w:val="left"/>
            </w:pPr>
            <w:r>
              <w:rPr>
                <w:sz w:val="17"/>
                <w:szCs w:val="17"/>
              </w:rPr>
              <w:t xml:space="preserve">Eficiencia</w:t>
            </w:r>
          </w:p>
        </w:tc>
        <w:tc>
          <w:tcPr>
            <w:tcW w:w="2900" w:type="dxa"/>
            <w:vAlign w:val="center"/>
          </w:tcPr>
          <w:p>
            <w:pPr>
              <w:spacing w:before="20" w:after="20" w:line="240" w:lineRule="auto"/>
              <w:ind w:left="0" w:firstLine="0"/>
              <w:jc w:val="left"/>
            </w:pPr>
            <w:r>
              <w:rPr>
                <w:sz w:val="17"/>
                <w:szCs w:val="17"/>
              </w:rPr>
              <w:t xml:space="preserve">Sin mediciones</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timeit</w:t>
            </w:r>
            <w:r>
              <w:rPr>
                <w:sz w:val="17"/>
                <w:szCs w:val="17"/>
              </w:rPr>
              <w:t xml:space="preserve"> y </w:t>
            </w:r>
            <w:r>
              <w:rPr>
                <w:rFonts w:ascii="Courier New" w:hAnsi="Courier New" w:cs="Courier New"/>
                <w:sz w:val="17"/>
                <w:szCs w:val="17"/>
              </w:rPr>
              <w:t xml:space="preserve">tracemalloc</w:t>
            </w:r>
            <w:r>
              <w:rPr>
                <w:sz w:val="17"/>
                <w:szCs w:val="17"/>
              </w:rPr>
              <w:t xml:space="preserve"> en F3</w:t>
            </w:r>
          </w:p>
        </w:tc>
        <w:tc>
          <w:tcPr>
            <w:tcW w:w="2680" w:type="dxa"/>
            <w:vAlign w:val="center"/>
          </w:tcPr>
          <w:p>
            <w:pPr>
              <w:spacing w:before="20" w:after="20" w:line="240" w:lineRule="auto"/>
              <w:ind w:left="0" w:firstLine="0"/>
              <w:jc w:val="left"/>
            </w:pPr>
            <w:r>
              <w:rPr>
                <w:sz w:val="17"/>
                <w:szCs w:val="17"/>
              </w:rPr>
              <w:t xml:space="preserve">Justificar la implementación elegida</w:t>
            </w:r>
          </w:p>
        </w:tc>
      </w:tr>
      <w:tr>
        <w:trPr>
          <w:cantSplit/>
        </w:trPr>
        <w:tc>
          <w:tcPr>
            <w:tcW w:w="1500" w:type="dxa"/>
            <w:vAlign w:val="center"/>
          </w:tcPr>
          <w:p>
            <w:pPr>
              <w:spacing w:before="20" w:after="20" w:line="240" w:lineRule="auto"/>
              <w:ind w:left="0" w:firstLine="0"/>
              <w:jc w:val="left"/>
            </w:pPr>
            <w:r>
              <w:rPr>
                <w:sz w:val="17"/>
                <w:szCs w:val="17"/>
              </w:rPr>
              <w:t xml:space="preserve">Verificación</w:t>
            </w:r>
          </w:p>
        </w:tc>
        <w:tc>
          <w:tcPr>
            <w:tcW w:w="2900" w:type="dxa"/>
            <w:vAlign w:val="center"/>
          </w:tcPr>
          <w:p>
            <w:pPr>
              <w:spacing w:before="20" w:after="20" w:line="240" w:lineRule="auto"/>
              <w:ind w:left="0" w:firstLine="0"/>
              <w:jc w:val="left"/>
            </w:pPr>
            <w:r>
              <w:rPr>
                <w:sz w:val="17"/>
                <w:szCs w:val="17"/>
              </w:rPr>
              <w:t xml:space="preserve">Equivalencia columna a columna (F3)</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assert_frame_equal</w:t>
            </w:r>
            <w:r>
              <w:rPr>
                <w:sz w:val="17"/>
                <w:szCs w:val="17"/>
              </w:rPr>
              <w:t xml:space="preserve"> y pruebas normal/límite/excepción (F4)</w:t>
            </w:r>
          </w:p>
        </w:tc>
        <w:tc>
          <w:tcPr>
            <w:tcW w:w="2680" w:type="dxa"/>
            <w:vAlign w:val="center"/>
          </w:tcPr>
          <w:p>
            <w:pPr>
              <w:spacing w:before="20" w:after="20" w:line="240" w:lineRule="auto"/>
              <w:ind w:left="0" w:firstLine="0"/>
              <w:jc w:val="left"/>
            </w:pPr>
            <w:r>
              <w:rPr>
                <w:sz w:val="17"/>
                <w:szCs w:val="17"/>
              </w:rPr>
              <w:t xml:space="preserve">Evidencia objetiva de que las mejoras no rompen nada</w:t>
            </w:r>
          </w:p>
        </w:tc>
      </w:tr>
    </w:tbl>
    <w:p>
      <w:pPr>
        <w:spacing w:before="0" w:after="120"/>
        <w:ind w:left="0" w:firstLine="0"/>
        <w:jc w:val="left"/>
      </w:pPr>
      <w:r>
        <w:rPr>
          <w:i/>
          <w:sz w:val="17"/>
          <w:szCs w:val="17"/>
        </w:rPr>
        <w:t xml:space="preserve">Fuente: elaboración propia a partir de los notebooks F2–F4 y de las observaciones recibidas.</w:t>
      </w:r>
    </w:p>
    <w:p w14:paraId="28F69997" w14:textId="77777777" w:rsidR="00940530" w:rsidRPr="00673CF5" w:rsidRDefault="00575328" w:rsidP="001753FD">
      <w:pPr>
        <w:pStyle w:val="Ttulo2"/>
        <w:ind w:left="720"/>
      </w:pPr>
      <w:bookmarkStart w:id="28" w:name="_Toc241865089"/>
      <w:r w:rsidRPr="00673CF5">
        <w:t>b. Resultados</w:t>
      </w:r>
      <w:bookmarkEnd w:id="28"/>
    </w:p>
    <w:p>
      <w:pPr>
        <w:ind w:left="0" w:firstLine="567"/>
      </w:pPr>
      <w:r>
        <w:rPr/>
        <w:t xml:space="preserve">La Tabla 4 resume los resultados. TER CMPC Pacífico aporta el 65 % de la generación total del conjunto (94.446 de 144.518 MWh) y mantiene un perfil horario casi plano (14,6–17,9 MWh por hora; Figura 1). Su media mensual se ubica entre 14 y 19 MWh hasta junio y baja a cerca de 12 MWh en julio y agosto (Figura 2). TER CMPC Laja disminuye de 7,6 MWh en enero a 0,4 MWh en agosto y concentra el 72 % de las horas con 0 MWh del conjunto (3.193 de 4.438), con cerca de 90 % de sus horas en cero en julio y agosto (Figura 3) y una secuencia continua máxima de 375 horas (≈15,6 días). TER CMPC Santa Fe presenta su mayor media en abril (7,9 MWh), un perfil horario plano (4,8–5,5 MWh) y un 59 % de horas en cero en agosto. Las diferencias por día de la semana son menores y sin patrón claro (por ejemplo, Laja: 2,5 MWh los domingos y 4,0 los miércoles).</w:t>
      </w:r>
    </w:p>
    <w:p>
      <w:pPr>
        <w:keepNext/>
        <w:spacing w:before="80" w:after="60"/>
        <w:ind w:left="0" w:firstLine="0"/>
        <w:jc w:val="left"/>
      </w:pPr>
      <w:r>
        <w:rPr>
          <w:b/>
          <w:sz w:val="19"/>
          <w:szCs w:val="19"/>
        </w:rPr>
        <w:t xml:space="preserve">Tabla 4. Resumen de generación y registros con 0 MWh por central (enero–agosto de 2026)</w:t>
      </w:r>
    </w:p>
    <w:tbl>
      <w:tblPr>
        <w:tblStyle w:val="Tabladecuadrcula4-nfasis1"/>
        <w:tblW w:w="10380" w:type="dxa"/>
        <w:tblLayout w:type="fixed"/>
        <w:tblLook w:val="04A0" w:firstRow="1" w:lastRow="0" w:firstColumn="1" w:lastColumn="0" w:noHBand="0" w:noVBand="1"/>
      </w:tblPr>
      <w:tblGrid>
        <w:gridCol w:w="2300"/>
        <w:gridCol w:w="1600"/>
        <w:gridCol w:w="1700"/>
        <w:gridCol w:w="1400"/>
        <w:gridCol w:w="1780"/>
        <w:gridCol w:w="1600"/>
      </w:tblGrid>
      <w:tr>
        <w:trPr>
          <w:cantSplit/>
          <w:tblHeader/>
        </w:trPr>
        <w:tc>
          <w:tcPr>
            <w:tcW w:w="2300" w:type="dxa"/>
            <w:vAlign w:val="center"/>
          </w:tcPr>
          <w:p>
            <w:pPr>
              <w:spacing w:before="20" w:after="20" w:line="240" w:lineRule="auto"/>
              <w:ind w:left="0" w:firstLine="0"/>
              <w:jc w:val="left"/>
            </w:pPr>
            <w:r>
              <w:rPr>
                <w:sz w:val="17"/>
                <w:szCs w:val="17"/>
              </w:rPr>
              <w:t xml:space="preserve">Central</w:t>
            </w:r>
          </w:p>
        </w:tc>
        <w:tc>
          <w:tcPr>
            <w:tcW w:w="1600" w:type="dxa"/>
            <w:vAlign w:val="center"/>
          </w:tcPr>
          <w:p>
            <w:pPr>
              <w:spacing w:before="20" w:after="20" w:line="240" w:lineRule="auto"/>
              <w:ind w:left="0" w:firstLine="0"/>
              <w:jc w:val="left"/>
            </w:pPr>
            <w:r>
              <w:rPr>
                <w:sz w:val="17"/>
                <w:szCs w:val="17"/>
              </w:rPr>
              <w:t xml:space="preserve">Media horaria (MWh)</w:t>
            </w:r>
          </w:p>
        </w:tc>
        <w:tc>
          <w:tcPr>
            <w:tcW w:w="1700" w:type="dxa"/>
            <w:vAlign w:val="center"/>
          </w:tcPr>
          <w:p>
            <w:pPr>
              <w:spacing w:before="20" w:after="20" w:line="240" w:lineRule="auto"/>
              <w:ind w:left="0" w:firstLine="0"/>
              <w:jc w:val="left"/>
            </w:pPr>
            <w:r>
              <w:rPr>
                <w:sz w:val="17"/>
                <w:szCs w:val="17"/>
              </w:rPr>
              <w:t xml:space="preserve">Máximo horario (MWh)</w:t>
            </w:r>
          </w:p>
        </w:tc>
        <w:tc>
          <w:tcPr>
            <w:tcW w:w="1400" w:type="dxa"/>
            <w:vAlign w:val="center"/>
          </w:tcPr>
          <w:p>
            <w:pPr>
              <w:spacing w:before="20" w:after="20" w:line="240" w:lineRule="auto"/>
              <w:ind w:left="0" w:firstLine="0"/>
              <w:jc w:val="left"/>
            </w:pPr>
            <w:r>
              <w:rPr>
                <w:sz w:val="17"/>
                <w:szCs w:val="17"/>
              </w:rPr>
              <w:t xml:space="preserve">Total (MWh)</w:t>
            </w:r>
          </w:p>
        </w:tc>
        <w:tc>
          <w:tcPr>
            <w:tcW w:w="1780" w:type="dxa"/>
            <w:vAlign w:val="center"/>
          </w:tcPr>
          <w:p>
            <w:pPr>
              <w:spacing w:before="20" w:after="20" w:line="240" w:lineRule="auto"/>
              <w:ind w:left="0" w:firstLine="0"/>
              <w:jc w:val="left"/>
            </w:pPr>
            <w:r>
              <w:rPr>
                <w:sz w:val="17"/>
                <w:szCs w:val="17"/>
              </w:rPr>
              <w:t xml:space="preserve">Horas con 0 MWh</w:t>
            </w:r>
          </w:p>
        </w:tc>
        <w:tc>
          <w:tcPr>
            <w:tcW w:w="1600" w:type="dxa"/>
            <w:vAlign w:val="center"/>
          </w:tcPr>
          <w:p>
            <w:pPr>
              <w:spacing w:before="20" w:after="20" w:line="240" w:lineRule="auto"/>
              <w:ind w:left="0" w:firstLine="0"/>
              <w:jc w:val="left"/>
            </w:pPr>
            <w:r>
              <w:rPr>
                <w:sz w:val="17"/>
                <w:szCs w:val="17"/>
              </w:rPr>
              <w:t xml:space="preserve">Secuencia máx. de 0 MWh</w:t>
            </w:r>
          </w:p>
        </w:tc>
      </w:tr>
      <w:tr>
        <w:trPr>
          <w:cantSplit/>
        </w:trPr>
        <w:tc>
          <w:tcPr>
            <w:tcW w:w="2300" w:type="dxa"/>
            <w:vAlign w:val="center"/>
          </w:tcPr>
          <w:p>
            <w:pPr>
              <w:spacing w:before="20" w:after="20" w:line="240" w:lineRule="auto"/>
              <w:ind w:left="0" w:firstLine="0"/>
              <w:jc w:val="left"/>
            </w:pPr>
            <w:r>
              <w:rPr>
                <w:sz w:val="17"/>
                <w:szCs w:val="17"/>
              </w:rPr>
              <w:t xml:space="preserve">TER CMPC Laja</w:t>
            </w:r>
          </w:p>
        </w:tc>
        <w:tc>
          <w:tcPr>
            <w:tcW w:w="1600" w:type="dxa"/>
            <w:vAlign w:val="center"/>
          </w:tcPr>
          <w:p>
            <w:pPr>
              <w:spacing w:before="20" w:after="20" w:line="240" w:lineRule="auto"/>
              <w:ind w:left="0" w:firstLine="0"/>
              <w:jc w:val="left"/>
            </w:pPr>
            <w:r>
              <w:rPr>
                <w:sz w:val="17"/>
                <w:szCs w:val="17"/>
              </w:rPr>
              <w:t xml:space="preserve">3,45</w:t>
            </w:r>
          </w:p>
        </w:tc>
        <w:tc>
          <w:tcPr>
            <w:tcW w:w="1700" w:type="dxa"/>
            <w:vAlign w:val="center"/>
          </w:tcPr>
          <w:p>
            <w:pPr>
              <w:spacing w:before="20" w:after="20" w:line="240" w:lineRule="auto"/>
              <w:ind w:left="0" w:firstLine="0"/>
              <w:jc w:val="left"/>
            </w:pPr>
            <w:r>
              <w:rPr>
                <w:sz w:val="17"/>
                <w:szCs w:val="17"/>
              </w:rPr>
              <w:t xml:space="preserve">27,3</w:t>
            </w:r>
          </w:p>
        </w:tc>
        <w:tc>
          <w:tcPr>
            <w:tcW w:w="1400" w:type="dxa"/>
            <w:vAlign w:val="center"/>
          </w:tcPr>
          <w:p>
            <w:pPr>
              <w:spacing w:before="20" w:after="20" w:line="240" w:lineRule="auto"/>
              <w:ind w:left="0" w:firstLine="0"/>
              <w:jc w:val="left"/>
            </w:pPr>
            <w:r>
              <w:rPr>
                <w:sz w:val="17"/>
                <w:szCs w:val="17"/>
              </w:rPr>
              <w:t xml:space="preserve">20.096</w:t>
            </w:r>
          </w:p>
        </w:tc>
        <w:tc>
          <w:tcPr>
            <w:tcW w:w="1780" w:type="dxa"/>
            <w:vAlign w:val="center"/>
          </w:tcPr>
          <w:p>
            <w:pPr>
              <w:spacing w:before="20" w:after="20" w:line="240" w:lineRule="auto"/>
              <w:ind w:left="0" w:firstLine="0"/>
              <w:jc w:val="left"/>
            </w:pPr>
            <w:r>
              <w:rPr>
                <w:sz w:val="17"/>
                <w:szCs w:val="17"/>
              </w:rPr>
              <w:t xml:space="preserve">3.193 (54,7 %)</w:t>
            </w:r>
          </w:p>
        </w:tc>
        <w:tc>
          <w:tcPr>
            <w:tcW w:w="1600" w:type="dxa"/>
            <w:vAlign w:val="center"/>
          </w:tcPr>
          <w:p>
            <w:pPr>
              <w:spacing w:before="20" w:after="20" w:line="240" w:lineRule="auto"/>
              <w:ind w:left="0" w:firstLine="0"/>
              <w:jc w:val="left"/>
            </w:pPr>
            <w:r>
              <w:rPr>
                <w:sz w:val="17"/>
                <w:szCs w:val="17"/>
              </w:rPr>
              <w:t xml:space="preserve">375 h</w:t>
            </w:r>
          </w:p>
        </w:tc>
      </w:tr>
      <w:tr>
        <w:trPr>
          <w:cantSplit/>
        </w:trPr>
        <w:tc>
          <w:tcPr>
            <w:tcW w:w="2300" w:type="dxa"/>
            <w:vAlign w:val="center"/>
          </w:tcPr>
          <w:p>
            <w:pPr>
              <w:spacing w:before="20" w:after="20" w:line="240" w:lineRule="auto"/>
              <w:ind w:left="0" w:firstLine="0"/>
              <w:jc w:val="left"/>
            </w:pPr>
            <w:r>
              <w:rPr>
                <w:sz w:val="17"/>
                <w:szCs w:val="17"/>
              </w:rPr>
              <w:t xml:space="preserve">TER CMPC Pacífico</w:t>
            </w:r>
          </w:p>
        </w:tc>
        <w:tc>
          <w:tcPr>
            <w:tcW w:w="1600" w:type="dxa"/>
            <w:vAlign w:val="center"/>
          </w:tcPr>
          <w:p>
            <w:pPr>
              <w:spacing w:before="20" w:after="20" w:line="240" w:lineRule="auto"/>
              <w:ind w:left="0" w:firstLine="0"/>
              <w:jc w:val="left"/>
            </w:pPr>
            <w:r>
              <w:rPr>
                <w:sz w:val="17"/>
                <w:szCs w:val="17"/>
              </w:rPr>
              <w:t xml:space="preserve">16,19</w:t>
            </w:r>
          </w:p>
        </w:tc>
        <w:tc>
          <w:tcPr>
            <w:tcW w:w="1700" w:type="dxa"/>
            <w:vAlign w:val="center"/>
          </w:tcPr>
          <w:p>
            <w:pPr>
              <w:spacing w:before="20" w:after="20" w:line="240" w:lineRule="auto"/>
              <w:ind w:left="0" w:firstLine="0"/>
              <w:jc w:val="left"/>
            </w:pPr>
            <w:r>
              <w:rPr>
                <w:sz w:val="17"/>
                <w:szCs w:val="17"/>
              </w:rPr>
              <w:t xml:space="preserve">33,2</w:t>
            </w:r>
          </w:p>
        </w:tc>
        <w:tc>
          <w:tcPr>
            <w:tcW w:w="1400" w:type="dxa"/>
            <w:vAlign w:val="center"/>
          </w:tcPr>
          <w:p>
            <w:pPr>
              <w:spacing w:before="20" w:after="20" w:line="240" w:lineRule="auto"/>
              <w:ind w:left="0" w:firstLine="0"/>
              <w:jc w:val="left"/>
            </w:pPr>
            <w:r>
              <w:rPr>
                <w:sz w:val="17"/>
                <w:szCs w:val="17"/>
              </w:rPr>
              <w:t xml:space="preserve">94.446</w:t>
            </w:r>
          </w:p>
        </w:tc>
        <w:tc>
          <w:tcPr>
            <w:tcW w:w="1780" w:type="dxa"/>
            <w:vAlign w:val="center"/>
          </w:tcPr>
          <w:p>
            <w:pPr>
              <w:spacing w:before="20" w:after="20" w:line="240" w:lineRule="auto"/>
              <w:ind w:left="0" w:firstLine="0"/>
              <w:jc w:val="left"/>
            </w:pPr>
            <w:r>
              <w:rPr>
                <w:sz w:val="17"/>
                <w:szCs w:val="17"/>
              </w:rPr>
              <w:t xml:space="preserve">371 (6,4 %)</w:t>
            </w:r>
          </w:p>
        </w:tc>
        <w:tc>
          <w:tcPr>
            <w:tcW w:w="1600" w:type="dxa"/>
            <w:vAlign w:val="center"/>
          </w:tcPr>
          <w:p>
            <w:pPr>
              <w:spacing w:before="20" w:after="20" w:line="240" w:lineRule="auto"/>
              <w:ind w:left="0" w:firstLine="0"/>
              <w:jc w:val="left"/>
            </w:pPr>
            <w:r>
              <w:rPr>
                <w:sz w:val="17"/>
                <w:szCs w:val="17"/>
              </w:rPr>
              <w:t xml:space="preserve">57 h</w:t>
            </w:r>
          </w:p>
        </w:tc>
      </w:tr>
      <w:tr>
        <w:trPr>
          <w:cantSplit/>
        </w:trPr>
        <w:tc>
          <w:tcPr>
            <w:tcW w:w="2300" w:type="dxa"/>
            <w:vAlign w:val="center"/>
          </w:tcPr>
          <w:p>
            <w:pPr>
              <w:spacing w:before="20" w:after="20" w:line="240" w:lineRule="auto"/>
              <w:ind w:left="0" w:firstLine="0"/>
              <w:jc w:val="left"/>
            </w:pPr>
            <w:r>
              <w:rPr>
                <w:sz w:val="17"/>
                <w:szCs w:val="17"/>
              </w:rPr>
              <w:t xml:space="preserve">TER CMPC Santa Fe</w:t>
            </w:r>
          </w:p>
        </w:tc>
        <w:tc>
          <w:tcPr>
            <w:tcW w:w="1600" w:type="dxa"/>
            <w:vAlign w:val="center"/>
          </w:tcPr>
          <w:p>
            <w:pPr>
              <w:spacing w:before="20" w:after="20" w:line="240" w:lineRule="auto"/>
              <w:ind w:left="0" w:firstLine="0"/>
              <w:jc w:val="left"/>
            </w:pPr>
            <w:r>
              <w:rPr>
                <w:sz w:val="17"/>
                <w:szCs w:val="17"/>
              </w:rPr>
              <w:t xml:space="preserve">5,14</w:t>
            </w:r>
          </w:p>
        </w:tc>
        <w:tc>
          <w:tcPr>
            <w:tcW w:w="1700" w:type="dxa"/>
            <w:vAlign w:val="center"/>
          </w:tcPr>
          <w:p>
            <w:pPr>
              <w:spacing w:before="20" w:after="20" w:line="240" w:lineRule="auto"/>
              <w:ind w:left="0" w:firstLine="0"/>
              <w:jc w:val="left"/>
            </w:pPr>
            <w:r>
              <w:rPr>
                <w:sz w:val="17"/>
                <w:szCs w:val="17"/>
              </w:rPr>
              <w:t xml:space="preserve">17,9</w:t>
            </w:r>
          </w:p>
        </w:tc>
        <w:tc>
          <w:tcPr>
            <w:tcW w:w="1400" w:type="dxa"/>
            <w:vAlign w:val="center"/>
          </w:tcPr>
          <w:p>
            <w:pPr>
              <w:spacing w:before="20" w:after="20" w:line="240" w:lineRule="auto"/>
              <w:ind w:left="0" w:firstLine="0"/>
              <w:jc w:val="left"/>
            </w:pPr>
            <w:r>
              <w:rPr>
                <w:sz w:val="17"/>
                <w:szCs w:val="17"/>
              </w:rPr>
              <w:t xml:space="preserve">29.976</w:t>
            </w:r>
          </w:p>
        </w:tc>
        <w:tc>
          <w:tcPr>
            <w:tcW w:w="1780" w:type="dxa"/>
            <w:vAlign w:val="center"/>
          </w:tcPr>
          <w:p>
            <w:pPr>
              <w:spacing w:before="20" w:after="20" w:line="240" w:lineRule="auto"/>
              <w:ind w:left="0" w:firstLine="0"/>
              <w:jc w:val="left"/>
            </w:pPr>
            <w:r>
              <w:rPr>
                <w:sz w:val="17"/>
                <w:szCs w:val="17"/>
              </w:rPr>
              <w:t xml:space="preserve">874 (15,0 %)</w:t>
            </w:r>
          </w:p>
        </w:tc>
        <w:tc>
          <w:tcPr>
            <w:tcW w:w="1600" w:type="dxa"/>
            <w:vAlign w:val="center"/>
          </w:tcPr>
          <w:p>
            <w:pPr>
              <w:spacing w:before="20" w:after="20" w:line="240" w:lineRule="auto"/>
              <w:ind w:left="0" w:firstLine="0"/>
              <w:jc w:val="left"/>
            </w:pPr>
            <w:r>
              <w:rPr>
                <w:sz w:val="17"/>
                <w:szCs w:val="17"/>
              </w:rPr>
              <w:t xml:space="preserve">356 h</w:t>
            </w:r>
          </w:p>
        </w:tc>
      </w:tr>
    </w:tbl>
    <w:p>
      <w:pPr>
        <w:spacing w:before="0" w:after="120"/>
        <w:ind w:left="0" w:firstLine="0"/>
        <w:jc w:val="left"/>
      </w:pPr>
      <w:r>
        <w:rPr>
          <w:i/>
          <w:sz w:val="17"/>
          <w:szCs w:val="17"/>
        </w:rPr>
        <w:t xml:space="preserve">Fuente: elaboración propia con datos del CEN (2026); secuencias calculadas con </w:t>
      </w:r>
      <w:r>
        <w:rPr>
          <w:rFonts w:ascii="Courier New" w:hAnsi="Courier New" w:cs="Courier New"/>
          <w:i/>
          <w:sz w:val="17"/>
          <w:szCs w:val="17"/>
        </w:rPr>
        <w:t xml:space="preserve">secuencias.py</w:t>
      </w:r>
      <w:r>
        <w:rPr>
          <w:i/>
          <w:sz w:val="17"/>
          <w:szCs w:val="17"/>
        </w:rPr>
        <w:t xml:space="preserve">.</w:t>
      </w:r>
    </w:p>
    <w:p w14:paraId="176F0150" w14:textId="77777777" w:rsidR="00940530" w:rsidRPr="00673CF5" w:rsidRDefault="00575328" w:rsidP="001753FD">
      <w:pPr>
        <w:pStyle w:val="Ttulo2"/>
        <w:ind w:left="720"/>
      </w:pPr>
      <w:bookmarkStart w:id="29" w:name="_Toc241865090"/>
      <w:r w:rsidRPr="00673CF5">
        <w:t xml:space="preserve">c. </w:t>
      </w:r>
      <w:r w:rsidRPr="00673CF5">
        <w:t>Discusión</w:t>
      </w:r>
      <w:bookmarkEnd w:id="29"/>
    </w:p>
    <w:p>
      <w:pPr>
        <w:ind w:left="0" w:firstLine="567"/>
      </w:pPr>
      <w:r>
        <w:rPr/>
        <w:t xml:space="preserve">Los resultados muestran tres comportamientos distintos dentro de un mismo grupo empresarial: una central base y estable (Pacífico), una con fuerte caída y alta intermitencia (Laja) y una de nivel intermedio con interrupciones prolongadas (Santa Fe). La ausencia de un ciclo horario marcado es compatible con una generación de excedentes sujeta a la programación interna de los procesos, pero los datos disponibles no permiten confirmarlo ni atribuir los 0 MWh a detenciones, mantenimiento u otras causas; esa interpretación requeriría información operacional adicional, por lo que se mantiene como hipótesis fuera del alcance. La principal amenaza a la validez es el período acotado de ocho meses, que impide distinguir una tendencia sostenida de una variación estacional.</w:t>
      </w:r>
    </w:p>
    <w:p w14:paraId="18920A2B" w14:textId="77777777" w:rsidR="00940530" w:rsidRPr="00673CF5" w:rsidRDefault="00575328" w:rsidP="001753FD">
      <w:pPr>
        <w:pStyle w:val="Ttulo2"/>
        <w:ind w:left="720"/>
      </w:pPr>
      <w:bookmarkStart w:id="30" w:name="_Toc241865091"/>
      <w:r w:rsidRPr="00673CF5">
        <w:t>d. Conclusiones</w:t>
      </w:r>
      <w:bookmarkEnd w:id="30"/>
    </w:p>
    <w:p>
      <w:pPr>
        <w:ind w:left="0" w:firstLine="567"/>
      </w:pPr>
      <w:r>
        <w:rPr/>
        <w:t xml:space="preserve">Respecto de la pregunta de investigación, los patrones temporales se resumen en cuatro conclusiones:</w:t>
      </w:r>
    </w:p>
    <w:p>
      <w:pPr>
        <w:pStyle w:val="F4Body"/>
        <w:numPr>
          <w:ilvl w:val="0"/>
          <w:numId w:val="12"/>
        </w:numPr>
        <w:spacing w:after="60"/>
      </w:pPr>
      <w:r>
        <w:rPr/>
        <w:t xml:space="preserve">La generación horaria es casi plana en las tres centrales; no hay un ciclo diario marcado, y Pacífico opera a un nivel 3 a 5 veces superior al de Laja y Santa Fe.</w:t>
      </w:r>
    </w:p>
    <w:p>
      <w:pPr>
        <w:pStyle w:val="F4Body"/>
        <w:numPr>
          <w:ilvl w:val="0"/>
          <w:numId w:val="12"/>
        </w:numPr>
        <w:spacing w:after="60"/>
      </w:pPr>
      <w:r>
        <w:rPr/>
        <w:t xml:space="preserve">A escala mensual, Laja decrece de forma sostenida y Pacífico baja en julio y agosto, mientras Santa Fe alcanza su máximo en abril–mayo.</w:t>
      </w:r>
    </w:p>
    <w:p>
      <w:pPr>
        <w:pStyle w:val="F4Body"/>
        <w:numPr>
          <w:ilvl w:val="0"/>
          <w:numId w:val="12"/>
        </w:numPr>
        <w:spacing w:after="60"/>
      </w:pPr>
      <w:r>
        <w:rPr/>
        <w:t xml:space="preserve">Los registros de 0 MWh (25,4 % del total) se concentran en Laja y se agrupan en secuencias largas, lo que sugiere interrupciones continuas y no ruido aislado.</w:t>
      </w:r>
    </w:p>
    <w:p>
      <w:pPr>
        <w:pStyle w:val="F4Body"/>
        <w:numPr>
          <w:ilvl w:val="0"/>
          <w:numId w:val="12"/>
        </w:numPr>
        <w:spacing w:after="60"/>
      </w:pPr>
      <w:r>
        <w:rPr/>
        <w:t xml:space="preserve">El flujo es reproducible y verificable: pipeline modular con pruebas, equivalencia F2↔F3 y trazabilidad en Git. Como trabajo futuro, ampliar el período y contrastar los ceros con información operacional.</w:t>
      </w:r>
    </w:p>
    <w:p w14:paraId="359CDEA0" w14:textId="77777777" w:rsidR="00940530" w:rsidRDefault="00575328" w:rsidP="001753FD">
      <w:pPr>
        <w:pStyle w:val="Ttulo2"/>
        <w:ind w:left="720"/>
      </w:pPr>
      <w:bookmarkStart w:id="31" w:name="_Toc241865092"/>
      <w:r w:rsidRPr="00673CF5">
        <w:t>e. Trazabilidad de mejoras</w:t>
      </w:r>
      <w:bookmarkEnd w:id="31"/>
    </w:p>
    <w:p w14:paraId="69558121" w14:textId="77777777" w:rsidR="0015658B" w:rsidRPr="0015658B" w:rsidRDefault="0015658B" w:rsidP="0015658B">
      <w:pPr>
        <w:ind w:left="720"/>
      </w:pPr>
      <w:r w:rsidRPr="0015658B">
        <w:t>El proyecto se desarrolló de manera iterativa, incorporando observaciones recibidas durante las evaluaciones anteriores y registrando los cambios mediante Git/GitHub. La trazabilidad de estas mejoras permite relacionar la retroalimentación recibida con acciones concretas sobre el código, los notebooks y la documentación.</w:t>
      </w:r>
    </w:p>
    <w:p w14:paraId="56FC45B8" w14:textId="77777777" w:rsidR="0015658B" w:rsidRDefault="0015658B" w:rsidP="0015658B">
      <w:pPr>
        <w:keepNext/>
        <w:ind w:left="720" w:hanging="11"/>
        <w:rPr>
          <w:b/>
          <w:bCs/>
        </w:rPr>
      </w:pPr>
      <w:r w:rsidRPr="0015658B">
        <w:rPr>
          <w:b/>
          <w:bCs/>
        </w:rPr>
        <w:t>Tabla</w:t>
      </w:r>
      <w:r w:rsidRPr="0015658B">
        <w:rPr>
          <w:b/>
          <w:bCs/>
        </w:rPr>
        <w:t xml:space="preserve"> 5</w:t>
      </w:r>
      <w:r w:rsidRPr="0015658B">
        <w:rPr>
          <w:b/>
          <w:bCs/>
        </w:rPr>
        <w:t>. Trazabilidad de observaciones y acciones de mejora</w:t>
      </w:r>
    </w:p>
    <w:tbl>
      <w:tblPr>
        <w:tblStyle w:val="Tabladecuadrcula4-nfasis1"/>
        <w:tblW w:w="10380" w:type="dxa"/>
        <w:tblLook w:val="04A0" w:firstRow="1" w:lastRow="0" w:firstColumn="1" w:lastColumn="0" w:noHBand="0" w:noVBand="1"/>
      </w:tblPr>
      <w:tblGrid>
        <w:gridCol w:w="2100"/>
        <w:gridCol w:w="2900"/>
        <w:gridCol w:w="1500"/>
        <w:gridCol w:w="3880"/>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70B7E6F" w14:textId="77777777" w:rsidR="0015658B" w:rsidRPr="0015658B" w:rsidRDefault="0015658B" w:rsidP="0015658B">
            <w:pPr>
              <w:spacing w:before="20" w:after="20" w:line="240" w:lineRule="auto"/>
              <w:ind w:left="0" w:firstLine="0"/>
            </w:pPr>
            <w:r w:rsidRPr="0015658B">
              <w:rPr>
                <w:sz w:val="17"/>
                <w:szCs w:val="17"/>
              </w:rPr>
              <w:t>Observación recibida</w:t>
            </w:r>
          </w:p>
        </w:tc>
        <w:tc>
          <w:tcPr>
            <w:tcW w:w="2900" w:type="dxa"/>
            <w:vAlign w:val="center"/>
            <w:hideMark/>
          </w:tcPr>
          <w:p w14:paraId="7EFE32F3"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78F5912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7FCF8A1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185BAEC" w14:textId="77777777" w:rsidR="0015658B" w:rsidRPr="0015658B" w:rsidRDefault="0015658B" w:rsidP="0015658B">
            <w:pPr>
              <w:spacing w:before="20" w:after="20" w:line="240" w:lineRule="auto"/>
              <w:ind w:left="0"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26099D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5EFAD074"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571BDBF0"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81B1EA9" w14:textId="77777777" w:rsidR="0015658B" w:rsidRPr="0015658B" w:rsidRDefault="0015658B" w:rsidP="0015658B">
            <w:pPr>
              <w:spacing w:before="20" w:after="20" w:line="240" w:lineRule="auto"/>
              <w:ind w:left="0" w:firstLine="0"/>
              <w:jc w:val="left"/>
            </w:pPr>
            <w:r w:rsidRPr="0015658B">
              <w:rPr>
                <w:sz w:val="17"/>
                <w:szCs w:val="17"/>
              </w:rPr>
              <w:t>Validación concentrada y con valores rígidos</w:t>
            </w:r>
          </w:p>
        </w:tc>
        <w:tc>
          <w:tcPr>
            <w:tcW w:w="2900" w:type="dxa"/>
            <w:vAlign w:val="center"/>
            <w:hideMark/>
          </w:tcPr>
          <w:p w14:paraId="63740AB1"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75CB0535"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893CB74"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7B81E7D" w14:textId="77777777" w:rsidR="0015658B" w:rsidRPr="0015658B" w:rsidRDefault="0015658B" w:rsidP="0015658B">
            <w:pPr>
              <w:spacing w:before="20" w:after="20" w:line="240" w:lineRule="auto"/>
              <w:ind w:left="0" w:firstLine="0"/>
              <w:jc w:val="left"/>
            </w:pPr>
            <w:r w:rsidRPr="0015658B">
              <w:rPr>
                <w:sz w:val="17"/>
                <w:szCs w:val="17"/>
              </w:rPr>
              <w:t>Identidades Git inconsistentes</w:t>
            </w:r>
          </w:p>
        </w:tc>
        <w:tc>
          <w:tcPr>
            <w:tcW w:w="2900" w:type="dxa"/>
            <w:vAlign w:val="center"/>
            <w:hideMark/>
          </w:tcPr>
          <w:p w14:paraId="2D76721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340467B3"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80B1B77"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8FF0AEE" w14:textId="77777777" w:rsidR="0015658B" w:rsidRPr="0015658B" w:rsidRDefault="0015658B" w:rsidP="0015658B">
            <w:pPr>
              <w:spacing w:before="20" w:after="20" w:line="240" w:lineRule="auto"/>
              <w:ind w:left="0"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7B532CAA"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40E57EA7"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3F38A11D"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D6D7AD2" w14:textId="77777777" w:rsidR="0015658B" w:rsidRPr="0015658B" w:rsidRDefault="0015658B" w:rsidP="0015658B">
            <w:pPr>
              <w:spacing w:before="20" w:after="20" w:line="240" w:lineRule="auto"/>
              <w:ind w:left="0" w:firstLine="0"/>
              <w:jc w:val="left"/>
            </w:pPr>
            <w:r w:rsidRPr="0015658B">
              <w:rPr>
                <w:sz w:val="17"/>
                <w:szCs w:val="17"/>
              </w:rPr>
              <w:t>Falta de análisis de eficiencia</w:t>
            </w:r>
          </w:p>
        </w:tc>
        <w:tc>
          <w:tcPr>
            <w:tcW w:w="2900" w:type="dxa"/>
            <w:vAlign w:val="center"/>
            <w:hideMark/>
          </w:tcPr>
          <w:p w14:paraId="3C0D7D9E"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6C98DA22"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3EF52BF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3308DA" w14:textId="77777777" w:rsidR="0015658B" w:rsidRPr="0015658B" w:rsidRDefault="0015658B" w:rsidP="0015658B">
            <w:pPr>
              <w:spacing w:before="20" w:after="20" w:line="240" w:lineRule="auto"/>
              <w:ind w:left="0" w:firstLine="0"/>
              <w:jc w:val="left"/>
            </w:pPr>
            <w:r w:rsidRPr="0015658B">
              <w:rPr>
                <w:sz w:val="17"/>
                <w:szCs w:val="17"/>
              </w:rPr>
              <w:t xml:space="preserve">Necesidad de integrar la lógica previa </w:t>
            </w:r>
            <w:r w:rsidRPr="0015658B">
              <w:rPr>
                <w:sz w:val="17"/>
                <w:szCs w:val="17"/>
              </w:rPr>
              <w:lastRenderedPageBreak/>
              <w:t>bajo POO</w:t>
            </w:r>
          </w:p>
        </w:tc>
        <w:tc>
          <w:tcPr>
            <w:tcW w:w="2900" w:type="dxa"/>
            <w:vAlign w:val="center"/>
            <w:hideMark/>
          </w:tcPr>
          <w:p w14:paraId="7AE73788"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refactorizó el pipeline e incorporó filtrado temporal dentro de la </w:t>
            </w:r>
            <w:r w:rsidRPr="0015658B">
              <w:rPr>
                <w:sz w:val="17"/>
                <w:szCs w:val="17"/>
              </w:rPr>
              <w:lastRenderedPageBreak/>
              <w:t>arquitectura orientada a objetos</w:t>
            </w:r>
          </w:p>
        </w:tc>
        <w:tc>
          <w:tcPr>
            <w:tcW w:w="1500" w:type="dxa"/>
            <w:vAlign w:val="center"/>
            <w:hideMark/>
          </w:tcPr>
          <w:p w14:paraId="134A6049"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2a7372f</w:t>
            </w:r>
          </w:p>
        </w:tc>
        <w:tc>
          <w:tcPr>
            <w:tcW w:w="3880" w:type="dxa"/>
            <w:vAlign w:val="center"/>
            <w:hideMark/>
          </w:tcPr>
          <w:p w14:paraId="275C8F1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1E1AAE8" w14:textId="77777777" w:rsidR="0015658B" w:rsidRPr="0015658B" w:rsidRDefault="0015658B" w:rsidP="0015658B">
            <w:pPr>
              <w:spacing w:before="20" w:after="20" w:line="240" w:lineRule="auto"/>
              <w:ind w:left="0" w:firstLine="0"/>
              <w:jc w:val="left"/>
            </w:pPr>
            <w:r w:rsidRPr="0015658B">
              <w:rPr>
                <w:sz w:val="17"/>
                <w:szCs w:val="17"/>
              </w:rPr>
              <w:lastRenderedPageBreak/>
              <w:t>Falta de trazabilidad consolidada entre fases</w:t>
            </w:r>
          </w:p>
        </w:tc>
        <w:tc>
          <w:tcPr>
            <w:tcW w:w="2900" w:type="dxa"/>
            <w:vAlign w:val="center"/>
            <w:hideMark/>
          </w:tcPr>
          <w:p w14:paraId="0966659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8542D7E"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10621A3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CD2AAF1" w14:textId="77777777" w:rsidR="0015658B" w:rsidRPr="0015658B" w:rsidRDefault="0015658B" w:rsidP="0015658B">
            <w:pPr>
              <w:spacing w:before="20" w:after="20" w:line="240" w:lineRule="auto"/>
              <w:ind w:left="0" w:firstLine="0"/>
              <w:jc w:val="left"/>
            </w:pPr>
            <w:r w:rsidRPr="0015658B">
              <w:rPr>
                <w:sz w:val="17"/>
                <w:szCs w:val="17"/>
              </w:rPr>
              <w:t>Visualizaciones finales sin fuente e interpretación explícita</w:t>
            </w:r>
          </w:p>
        </w:tc>
        <w:tc>
          <w:tcPr>
            <w:tcW w:w="2900" w:type="dxa"/>
            <w:vAlign w:val="center"/>
            <w:hideMark/>
          </w:tcPr>
          <w:p w14:paraId="18F4C9E0"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1F1668D"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24F7F05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77EF362B" w14:textId="77777777" w:rsidR="00940530" w:rsidRPr="00673CF5" w:rsidRDefault="00575328" w:rsidP="001753FD">
      <w:pPr>
        <w:pStyle w:val="Ttulo1"/>
      </w:pPr>
      <w:bookmarkStart w:id="32" w:name="_Toc241865093"/>
      <w:r w:rsidRPr="00673CF5">
        <w:t>IX. Presentación Audiovisual</w:t>
      </w:r>
      <w:bookmarkEnd w:id="32"/>
    </w:p>
    <w:p>
      <w:pPr>
        <w:spacing w:after="40" w:line="240" w:lineRule="auto"/>
        <w:ind w:left="0" w:firstLine="567"/>
      </w:pPr>
      <w:r>
        <w:rPr/>
        <w:t xml:space="preserve">El video de 5 a 8 minutos presenta el contexto, la metodología, los resultados y las conclusiones del proyecto, con participación de los cuatro integrantes. Enlace al video: </w:t>
      </w:r>
      <w:r>
        <w:rPr>
          <w:b/>
          <w:highlight w:val="yellow"/>
        </w:rPr>
        <w:t xml:space="preserve">[PEGAR AQUÍ EL ENLACE DEL VIDEO]</w:t>
      </w:r>
    </w:p>
    <w:p w14:paraId="6256131F" w14:textId="77777777" w:rsidR="00940530" w:rsidRPr="00673CF5" w:rsidRDefault="00575328" w:rsidP="001753FD">
      <w:pPr>
        <w:pStyle w:val="Ttulo1"/>
        <w:spacing w:after="40"/>
      </w:pPr>
      <w:bookmarkStart w:id="33" w:name="_Toc241865094"/>
      <w:r w:rsidRPr="00673CF5">
        <w:t>X. Bibliografía</w:t>
      </w:r>
      <w:bookmarkEnd w:id="33"/>
    </w:p>
    <w:p>
      <w:pPr>
        <w:pStyle w:val="F4Body"/>
        <w:spacing w:after="20" w:before="0" w:line="240" w:lineRule="auto"/>
        <w:ind w:left="567" w:hanging="567"/>
        <w:jc w:val="left"/>
      </w:pPr>
      <w:r>
        <w:rPr>
          <w:rFonts w:ascii="Arial" w:hAnsi="Arial"/>
          <w:sz w:val="17"/>
        </w:rPr>
        <w:t xml:space="preserve">Chacon, S., &amp; Straub, B. (2014). </w:t>
      </w:r>
      <w:r>
        <w:rPr>
          <w:rFonts w:ascii="Arial" w:hAnsi="Arial"/>
          <w:i/>
          <w:sz w:val="17"/>
        </w:rPr>
        <w:t xml:space="preserve">Pro Git</w:t>
      </w:r>
      <w:r>
        <w:rPr>
          <w:rFonts w:ascii="Arial" w:hAnsi="Arial"/>
          <w:sz w:val="17"/>
        </w:rPr>
        <w:t xml:space="preserve"> (2.ª ed.). Apress. https://git-scm.com/book</w:t>
      </w:r>
    </w:p>
    <w:p>
      <w:pPr>
        <w:pStyle w:val="F4Body"/>
        <w:spacing w:after="20" w:before="0" w:line="240" w:lineRule="auto"/>
        <w:ind w:left="567" w:hanging="567"/>
        <w:jc w:val="left"/>
      </w:pPr>
      <w:r>
        <w:rPr>
          <w:rFonts w:ascii="Arial" w:hAnsi="Arial"/>
          <w:sz w:val="17"/>
        </w:rPr>
        <w:t xml:space="preserve">Coordinador Eléctrico Nacional. (2022). </w:t>
      </w:r>
      <w:r>
        <w:rPr>
          <w:rFonts w:ascii="Arial" w:hAnsi="Arial"/>
          <w:i/>
          <w:sz w:val="17"/>
        </w:rPr>
        <w:t xml:space="preserve">Diccionario de datos para la descarga de datos Portal Web Sistema de Información Pública (SIP), B43-DIN-04</w:t>
      </w:r>
      <w:r>
        <w:rPr>
          <w:rFonts w:ascii="Arial" w:hAnsi="Arial"/>
          <w:sz w:val="17"/>
        </w:rPr>
        <w:t xml:space="preserve">.</w:t>
      </w:r>
    </w:p>
    <w:p>
      <w:pPr>
        <w:pStyle w:val="F4Body"/>
        <w:spacing w:after="20" w:before="0" w:line="240" w:lineRule="auto"/>
        <w:ind w:left="567" w:hanging="567"/>
        <w:jc w:val="left"/>
      </w:pPr>
      <w:r>
        <w:rPr>
          <w:rFonts w:ascii="Arial" w:hAnsi="Arial"/>
          <w:sz w:val="17"/>
        </w:rPr>
        <w:t xml:space="preserve">Coordinador Eléctrico Nacional. (2026). </w:t>
      </w:r>
      <w:r>
        <w:rPr>
          <w:rFonts w:ascii="Arial" w:hAnsi="Arial"/>
          <w:i/>
          <w:sz w:val="17"/>
        </w:rPr>
        <w:t xml:space="preserve">Generación real</w:t>
      </w:r>
      <w:r>
        <w:rPr>
          <w:rFonts w:ascii="Arial" w:hAnsi="Arial"/>
          <w:sz w:val="17"/>
        </w:rPr>
        <w:t xml:space="preserve"> [Conjunto de datos]. Portal de Operación Real del Sistema Eléctrico Nacional. https://www.coordinador.cl/operacion/graficos/operacion-real/generacion-real-/</w:t>
      </w:r>
    </w:p>
    <w:p>
      <w:pPr>
        <w:pStyle w:val="F4Body"/>
        <w:spacing w:after="20" w:before="0" w:line="240" w:lineRule="auto"/>
        <w:ind w:left="567" w:hanging="567"/>
        <w:jc w:val="left"/>
      </w:pPr>
      <w:r>
        <w:rPr>
          <w:rFonts w:ascii="Arial" w:hAnsi="Arial"/>
          <w:sz w:val="17"/>
        </w:rPr>
        <w:t xml:space="preserve">Gamma, E., Helm, R., Johnson, R., &amp; Vlissides, J. (1994). </w:t>
      </w:r>
      <w:r>
        <w:rPr>
          <w:rFonts w:ascii="Arial" w:hAnsi="Arial"/>
          <w:i/>
          <w:sz w:val="17"/>
        </w:rPr>
        <w:t xml:space="preserve">Design patterns: Elements of reusable object-oriented software</w:t>
      </w:r>
      <w:r>
        <w:rPr>
          <w:rFonts w:ascii="Arial" w:hAnsi="Arial"/>
          <w:sz w:val="17"/>
        </w:rPr>
        <w:t xml:space="preserve">. Addison-Wesley.</w:t>
      </w:r>
    </w:p>
    <w:p>
      <w:pPr>
        <w:pStyle w:val="F4Body"/>
        <w:spacing w:after="20" w:before="0" w:line="240" w:lineRule="auto"/>
        <w:ind w:left="567" w:hanging="567"/>
        <w:jc w:val="left"/>
      </w:pPr>
      <w:r>
        <w:rPr>
          <w:rFonts w:ascii="Arial" w:hAnsi="Arial"/>
          <w:sz w:val="17"/>
        </w:rPr>
        <w:t xml:space="preserve">McKinney, W. (2010). Data structures for statistical computing in Python. En S. van der Walt &amp; J. Millman (Eds.), </w:t>
      </w:r>
      <w:r>
        <w:rPr>
          <w:rFonts w:ascii="Arial" w:hAnsi="Arial"/>
          <w:i/>
          <w:sz w:val="17"/>
        </w:rPr>
        <w:t xml:space="preserve">Proceedings of the 9th Python in Science Conference</w:t>
      </w:r>
      <w:r>
        <w:rPr>
          <w:rFonts w:ascii="Arial" w:hAnsi="Arial"/>
          <w:sz w:val="17"/>
        </w:rPr>
        <w:t xml:space="preserve"> (pp. 56–61). https://doi.org/10.25080/Majora-92bf1922-00a</w:t>
      </w:r>
    </w:p>
    <w:p>
      <w:pPr>
        <w:pStyle w:val="F4Body"/>
        <w:spacing w:after="20" w:before="0" w:line="240" w:lineRule="auto"/>
        <w:ind w:left="567" w:hanging="567"/>
        <w:jc w:val="left"/>
      </w:pPr>
      <w:r>
        <w:rPr>
          <w:rFonts w:ascii="Arial" w:hAnsi="Arial"/>
          <w:sz w:val="17"/>
        </w:rPr>
        <w:t xml:space="preserve">Python Software Foundation. (s. f.). </w:t>
      </w:r>
      <w:r>
        <w:rPr>
          <w:rFonts w:ascii="Arial" w:hAnsi="Arial"/>
          <w:i/>
          <w:sz w:val="17"/>
        </w:rPr>
        <w:t xml:space="preserve">timeit</w:t>
      </w:r>
      <w:r>
        <w:rPr>
          <w:rFonts w:ascii="Arial" w:hAnsi="Arial"/>
          <w:sz w:val="17"/>
        </w:rPr>
        <w:t xml:space="preserve"> y </w:t>
      </w:r>
      <w:r>
        <w:rPr>
          <w:rFonts w:ascii="Arial" w:hAnsi="Arial"/>
          <w:i/>
          <w:sz w:val="17"/>
        </w:rPr>
        <w:t xml:space="preserve">tracemalloc</w:t>
      </w:r>
      <w:r>
        <w:rPr>
          <w:rFonts w:ascii="Arial" w:hAnsi="Arial"/>
          <w:sz w:val="17"/>
        </w:rPr>
        <w:t xml:space="preserve">. En </w:t>
      </w:r>
      <w:r>
        <w:rPr>
          <w:rFonts w:ascii="Arial" w:hAnsi="Arial"/>
          <w:i/>
          <w:sz w:val="17"/>
        </w:rPr>
        <w:t xml:space="preserve">The Python standard library</w:t>
      </w:r>
      <w:r>
        <w:rPr>
          <w:rFonts w:ascii="Arial" w:hAnsi="Arial"/>
          <w:sz w:val="17"/>
        </w:rPr>
        <w:t xml:space="preserve">. https://docs.python.org/3/library/timeit.html</w:t>
      </w:r>
    </w:p>
    <w:p>
      <w:pPr>
        <w:pStyle w:val="F4Body"/>
        <w:spacing w:after="20" w:before="0" w:line="240" w:lineRule="auto"/>
        <w:ind w:left="567" w:hanging="567"/>
        <w:jc w:val="left"/>
      </w:pPr>
      <w:r>
        <w:rPr>
          <w:rFonts w:ascii="Arial" w:hAnsi="Arial"/>
          <w:sz w:val="17"/>
        </w:rPr>
        <w:t xml:space="preserve">Salinas Silva, O. (2026a). </w:t>
      </w:r>
      <w:r>
        <w:rPr>
          <w:rFonts w:ascii="Arial" w:hAnsi="Arial"/>
          <w:i/>
          <w:sz w:val="17"/>
        </w:rPr>
        <w:t xml:space="preserve">Guía de apoyo Sumativa 3 – Fase 4</w:t>
      </w:r>
      <w:r>
        <w:rPr>
          <w:rFonts w:ascii="Arial" w:hAnsi="Arial"/>
          <w:sz w:val="17"/>
        </w:rPr>
        <w:t xml:space="preserve"> [Documento del curso MCDI500].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Salinas Silva, O. (2026b). </w:t>
      </w:r>
      <w:r>
        <w:rPr>
          <w:rFonts w:ascii="Arial" w:hAnsi="Arial"/>
          <w:i/>
          <w:sz w:val="17"/>
        </w:rPr>
        <w:t xml:space="preserve">Programación para la ciencia de datos</w:t>
      </w:r>
      <w:r>
        <w:rPr>
          <w:rFonts w:ascii="Arial" w:hAnsi="Arial"/>
          <w:sz w:val="17"/>
        </w:rPr>
        <w:t xml:space="preserve"> [Presentación de clase, Semana 1].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The pandas development team. (s. f.). </w:t>
      </w:r>
      <w:r>
        <w:rPr>
          <w:rFonts w:ascii="Arial" w:hAnsi="Arial"/>
          <w:i/>
          <w:sz w:val="17"/>
        </w:rPr>
        <w:t xml:space="preserve">pandas documentation</w:t>
      </w:r>
      <w:r>
        <w:rPr>
          <w:rFonts w:ascii="Arial" w:hAnsi="Arial"/>
          <w:sz w:val="17"/>
        </w:rPr>
        <w:t xml:space="preserve">. https://pandas.pydata.org/docs/</w:t>
      </w:r>
    </w:p>
    <w:p>
      <w:pPr>
        <w:pStyle w:val="F4Body"/>
        <w:spacing w:after="20" w:before="0" w:line="240" w:lineRule="auto"/>
        <w:ind w:left="567" w:hanging="567"/>
        <w:jc w:val="left"/>
      </w:pPr>
      <w:r>
        <w:rPr>
          <w:rFonts w:ascii="Arial" w:hAnsi="Arial"/>
          <w:sz w:val="17"/>
        </w:rPr>
        <w:t xml:space="preserve">Wilson, G., Aruliah, D. A., Brown, C. T., Chue Hong, N. P., Davis, M., Guy, R. T., Haddock, S. H. D., Huff, K. D., Mitchell, I. M., Plumbley, M. D., Waugh, B., White, E. P., &amp; Wilson, P. (2014). Best practices for scientific computing. </w:t>
      </w:r>
      <w:r>
        <w:rPr>
          <w:rFonts w:ascii="Arial" w:hAnsi="Arial"/>
          <w:i/>
          <w:sz w:val="17"/>
        </w:rPr>
        <w:t xml:space="preserve">PLoS Biology, 12</w:t>
      </w:r>
      <w:r>
        <w:rPr>
          <w:rFonts w:ascii="Arial" w:hAnsi="Arial"/>
          <w:sz w:val="17"/>
        </w:rPr>
        <w:t xml:space="preserve">(1), e1001745. https://doi.org/10.1371/journal.pbio.1001745</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79016" w14:textId="77777777" w:rsidR="00575328" w:rsidRPr="00673CF5" w:rsidRDefault="00575328" w:rsidP="001753FD">
      <w:r w:rsidRPr="00673CF5">
        <w:separator/>
      </w:r>
    </w:p>
  </w:endnote>
  <w:endnote w:type="continuationSeparator" w:id="0">
    <w:p w14:paraId="2F15221E" w14:textId="77777777" w:rsidR="00575328" w:rsidRPr="00673CF5" w:rsidRDefault="0057532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96835"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D36E61" w14:textId="77777777" w:rsidR="00575328" w:rsidRPr="00673CF5" w:rsidRDefault="00575328" w:rsidP="001753FD">
      <w:r w:rsidRPr="00673CF5">
        <w:separator/>
      </w:r>
    </w:p>
  </w:footnote>
  <w:footnote w:type="continuationSeparator" w:id="0">
    <w:p w14:paraId="6C50C169" w14:textId="77777777" w:rsidR="00575328" w:rsidRPr="00673CF5" w:rsidRDefault="00575328" w:rsidP="001753FD">
      <w:r w:rsidRPr="00673CF5">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9E24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" filled="f" stroked="f">
              <v:path arrowok="t"/>
              <v:textbox inset="0,0,0,0">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4"/>
  </w:num>
  <w:num w:numId="2">
    <w:abstractNumId w:val="0"/>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8"/>
  </w:num>
  <w:num w:numId="6">
    <w:abstractNumId w:val="12"/>
  </w:num>
  <w:num w:numId="7">
    <w:abstractNumId w:val="2"/>
  </w:num>
  <w:num w:numId="8">
    <w:abstractNumId w:val="10"/>
  </w:num>
  <w:num w:numId="9">
    <w:abstractNumId w:val="3"/>
  </w:num>
  <w:num w:numId="10">
    <w:abstractNumId w:val="7"/>
  </w:num>
  <w:num w:numId="11">
    <w:abstractNumId w:val="1"/>
  </w:num>
  <w:num w:numId="12">
    <w:abstractNumId w:val="6"/>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UnresolvedMention">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2578</Words>
  <Characters>14182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Daniela Rojas</cp:lastModifiedBy>
  <cp:revision>10</cp:revision>
  <dcterms:created xsi:type="dcterms:W3CDTF">2026-01-07T16:44:00Z</dcterms:created>
  <dcterms:modified xsi:type="dcterms:W3CDTF">2026-10-03T04:47:00Z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