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9642" w14:textId="77777777" w:rsidR="002A41AF" w:rsidRDefault="00A91815">
      <w:pPr>
        <w:pStyle w:val="Title"/>
        <w:rPr>
          <w:b/>
          <w:bCs/>
        </w:rPr>
      </w:pPr>
      <w:bookmarkStart w:id="0" w:name="_qzggtgx4c474" w:colFirst="0" w:colLast="0"/>
      <w:bookmarkEnd w:id="0"/>
      <w:r>
        <w:rPr>
          <w:b/>
          <w:bCs/>
        </w:rPr>
        <w:t>Executive Summary</w:t>
      </w:r>
    </w:p>
    <w:p w14:paraId="626F525E" w14:textId="77777777" w:rsidR="002A41AF" w:rsidRDefault="00A91815">
      <w:pPr>
        <w:rPr>
          <w:b/>
          <w:bCs/>
          <w:sz w:val="28"/>
          <w:szCs w:val="28"/>
        </w:rPr>
      </w:pPr>
      <w:r>
        <w:rPr>
          <w:b/>
          <w:bCs/>
          <w:sz w:val="28"/>
          <w:szCs w:val="28"/>
        </w:rPr>
        <w:t>Global Superstore Dataset - Sales &amp; Profitability Analysis (2011 - 2014)</w:t>
      </w:r>
    </w:p>
    <w:p w14:paraId="63B7CBAB" w14:textId="77777777" w:rsidR="002A41AF" w:rsidRDefault="00A91815">
      <w:pPr>
        <w:rPr>
          <w:i/>
          <w:iCs/>
        </w:rPr>
      </w:pPr>
      <w:proofErr w:type="spellStart"/>
      <w:r>
        <w:rPr>
          <w:i/>
          <w:iCs/>
        </w:rPr>
        <w:t>AnalystLab</w:t>
      </w:r>
      <w:proofErr w:type="spellEnd"/>
      <w:r>
        <w:rPr>
          <w:i/>
          <w:iCs/>
        </w:rPr>
        <w:t xml:space="preserve"> Africa - Week 2 Data Analytics Project</w:t>
      </w:r>
    </w:p>
    <w:p w14:paraId="1D0D5210" w14:textId="77777777" w:rsidR="002A41AF" w:rsidRDefault="002A41AF"/>
    <w:p w14:paraId="2311FBB8" w14:textId="6C3ED77D" w:rsidR="002A41AF" w:rsidRDefault="00A91815">
      <w:proofErr w:type="spellStart"/>
      <w:r>
        <w:t>AnalystLab</w:t>
      </w:r>
      <w:proofErr w:type="spellEnd"/>
      <w:r>
        <w:t xml:space="preserve"> Africa Consulting was engaged to design an executive Power BI dashboard enabling management to monitor sales performance, profitability, customer behavior, and regional performance across the Global Superstore business. This summary presents the </w:t>
      </w:r>
      <w:r>
        <w:t>headline results, key findings, and recommended actions from that analysis.</w:t>
      </w:r>
    </w:p>
    <w:p w14:paraId="03F27566" w14:textId="77777777" w:rsidR="002A41AF" w:rsidRDefault="00A91815">
      <w:pPr>
        <w:pStyle w:val="Heading1"/>
        <w:ind w:left="720"/>
        <w:rPr>
          <w:color w:val="1C4587"/>
        </w:rPr>
      </w:pPr>
      <w:bookmarkStart w:id="1" w:name="_reb7jikykgx5" w:colFirst="0" w:colLast="0"/>
      <w:bookmarkEnd w:id="1"/>
      <w:r>
        <w:rPr>
          <w:color w:val="1C4587"/>
        </w:rPr>
        <w:t xml:space="preserve">Headline Performance </w:t>
      </w:r>
    </w:p>
    <w:p w14:paraId="078E7C56" w14:textId="77777777" w:rsidR="002A41AF" w:rsidRDefault="002A41AF"/>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560"/>
        <w:gridCol w:w="2160"/>
        <w:gridCol w:w="1860"/>
      </w:tblGrid>
      <w:tr w:rsidR="002A41AF" w14:paraId="7C7F2F39" w14:textId="77777777" w:rsidTr="00A91815">
        <w:tc>
          <w:tcPr>
            <w:tcW w:w="1860" w:type="dxa"/>
            <w:shd w:val="clear" w:color="auto" w:fill="E5DFEC" w:themeFill="accent4" w:themeFillTint="33"/>
            <w:tcMar>
              <w:top w:w="100" w:type="dxa"/>
              <w:left w:w="100" w:type="dxa"/>
              <w:bottom w:w="100" w:type="dxa"/>
              <w:right w:w="100" w:type="dxa"/>
            </w:tcMar>
          </w:tcPr>
          <w:p w14:paraId="00449E27" w14:textId="77777777" w:rsidR="002A41AF" w:rsidRDefault="00A91815">
            <w:pPr>
              <w:widowControl w:val="0"/>
              <w:pBdr>
                <w:top w:val="nil"/>
                <w:left w:val="nil"/>
                <w:bottom w:val="nil"/>
                <w:right w:val="nil"/>
                <w:between w:val="nil"/>
              </w:pBdr>
              <w:spacing w:line="240" w:lineRule="auto"/>
              <w:jc w:val="center"/>
              <w:rPr>
                <w:b/>
                <w:bCs/>
              </w:rPr>
            </w:pPr>
            <w:r>
              <w:rPr>
                <w:b/>
                <w:bCs/>
              </w:rPr>
              <w:t>$12.64M</w:t>
            </w:r>
          </w:p>
          <w:p w14:paraId="6373E667" w14:textId="77777777" w:rsidR="002A41AF" w:rsidRDefault="00A91815">
            <w:pPr>
              <w:widowControl w:val="0"/>
              <w:pBdr>
                <w:top w:val="nil"/>
                <w:left w:val="nil"/>
                <w:bottom w:val="nil"/>
                <w:right w:val="nil"/>
                <w:between w:val="nil"/>
              </w:pBdr>
              <w:spacing w:line="240" w:lineRule="auto"/>
              <w:jc w:val="center"/>
            </w:pPr>
            <w:r>
              <w:t>Total Sales</w:t>
            </w:r>
          </w:p>
        </w:tc>
        <w:tc>
          <w:tcPr>
            <w:tcW w:w="1860" w:type="dxa"/>
            <w:shd w:val="clear" w:color="auto" w:fill="E5DFEC" w:themeFill="accent4" w:themeFillTint="33"/>
            <w:tcMar>
              <w:top w:w="100" w:type="dxa"/>
              <w:left w:w="100" w:type="dxa"/>
              <w:bottom w:w="100" w:type="dxa"/>
              <w:right w:w="100" w:type="dxa"/>
            </w:tcMar>
          </w:tcPr>
          <w:p w14:paraId="705AEC03" w14:textId="77777777" w:rsidR="002A41AF" w:rsidRDefault="00A91815">
            <w:pPr>
              <w:widowControl w:val="0"/>
              <w:pBdr>
                <w:top w:val="nil"/>
                <w:left w:val="nil"/>
                <w:bottom w:val="nil"/>
                <w:right w:val="nil"/>
                <w:between w:val="nil"/>
              </w:pBdr>
              <w:spacing w:line="240" w:lineRule="auto"/>
              <w:jc w:val="center"/>
              <w:rPr>
                <w:b/>
                <w:bCs/>
              </w:rPr>
            </w:pPr>
            <w:r>
              <w:rPr>
                <w:b/>
                <w:bCs/>
              </w:rPr>
              <w:t>$1.47M</w:t>
            </w:r>
          </w:p>
          <w:p w14:paraId="6B1D1B36" w14:textId="77777777" w:rsidR="002A41AF" w:rsidRDefault="00A91815">
            <w:pPr>
              <w:widowControl w:val="0"/>
              <w:pBdr>
                <w:top w:val="nil"/>
                <w:left w:val="nil"/>
                <w:bottom w:val="nil"/>
                <w:right w:val="nil"/>
                <w:between w:val="nil"/>
              </w:pBdr>
              <w:spacing w:line="240" w:lineRule="auto"/>
              <w:jc w:val="center"/>
            </w:pPr>
            <w:r>
              <w:t>Total Profit</w:t>
            </w:r>
          </w:p>
        </w:tc>
        <w:tc>
          <w:tcPr>
            <w:tcW w:w="1560" w:type="dxa"/>
            <w:shd w:val="clear" w:color="auto" w:fill="E5DFEC" w:themeFill="accent4" w:themeFillTint="33"/>
            <w:tcMar>
              <w:top w:w="100" w:type="dxa"/>
              <w:left w:w="100" w:type="dxa"/>
              <w:bottom w:w="100" w:type="dxa"/>
              <w:right w:w="100" w:type="dxa"/>
            </w:tcMar>
          </w:tcPr>
          <w:p w14:paraId="56A9C4A7" w14:textId="77777777" w:rsidR="002A41AF" w:rsidRDefault="00A91815">
            <w:pPr>
              <w:widowControl w:val="0"/>
              <w:pBdr>
                <w:top w:val="nil"/>
                <w:left w:val="nil"/>
                <w:bottom w:val="nil"/>
                <w:right w:val="nil"/>
                <w:between w:val="nil"/>
              </w:pBdr>
              <w:spacing w:line="240" w:lineRule="auto"/>
              <w:jc w:val="center"/>
              <w:rPr>
                <w:b/>
                <w:bCs/>
              </w:rPr>
            </w:pPr>
            <w:r>
              <w:rPr>
                <w:b/>
                <w:bCs/>
              </w:rPr>
              <w:t>25,035</w:t>
            </w:r>
          </w:p>
          <w:p w14:paraId="49EA1302" w14:textId="77777777" w:rsidR="002A41AF" w:rsidRDefault="00A91815">
            <w:pPr>
              <w:widowControl w:val="0"/>
              <w:pBdr>
                <w:top w:val="nil"/>
                <w:left w:val="nil"/>
                <w:bottom w:val="nil"/>
                <w:right w:val="nil"/>
                <w:between w:val="nil"/>
              </w:pBdr>
              <w:spacing w:line="240" w:lineRule="auto"/>
              <w:jc w:val="center"/>
            </w:pPr>
            <w:r>
              <w:t>Total Orders</w:t>
            </w:r>
          </w:p>
        </w:tc>
        <w:tc>
          <w:tcPr>
            <w:tcW w:w="2160" w:type="dxa"/>
            <w:shd w:val="clear" w:color="auto" w:fill="E5DFEC" w:themeFill="accent4" w:themeFillTint="33"/>
            <w:tcMar>
              <w:top w:w="100" w:type="dxa"/>
              <w:left w:w="100" w:type="dxa"/>
              <w:bottom w:w="100" w:type="dxa"/>
              <w:right w:w="100" w:type="dxa"/>
            </w:tcMar>
          </w:tcPr>
          <w:p w14:paraId="33E8137C" w14:textId="77777777" w:rsidR="002A41AF" w:rsidRDefault="00A91815">
            <w:pPr>
              <w:widowControl w:val="0"/>
              <w:pBdr>
                <w:top w:val="nil"/>
                <w:left w:val="nil"/>
                <w:bottom w:val="nil"/>
                <w:right w:val="nil"/>
                <w:between w:val="nil"/>
              </w:pBdr>
              <w:spacing w:line="240" w:lineRule="auto"/>
              <w:jc w:val="center"/>
              <w:rPr>
                <w:b/>
                <w:bCs/>
              </w:rPr>
            </w:pPr>
            <w:r>
              <w:rPr>
                <w:b/>
                <w:bCs/>
              </w:rPr>
              <w:t>$504.99</w:t>
            </w:r>
          </w:p>
          <w:p w14:paraId="69405B21" w14:textId="77777777" w:rsidR="002A41AF" w:rsidRDefault="00A91815">
            <w:pPr>
              <w:widowControl w:val="0"/>
              <w:pBdr>
                <w:top w:val="nil"/>
                <w:left w:val="nil"/>
                <w:bottom w:val="nil"/>
                <w:right w:val="nil"/>
                <w:between w:val="nil"/>
              </w:pBdr>
              <w:spacing w:line="240" w:lineRule="auto"/>
              <w:jc w:val="center"/>
            </w:pPr>
            <w:r>
              <w:t>Avg. Order Value</w:t>
            </w:r>
          </w:p>
        </w:tc>
        <w:tc>
          <w:tcPr>
            <w:tcW w:w="1860" w:type="dxa"/>
            <w:shd w:val="clear" w:color="auto" w:fill="E5DFEC" w:themeFill="accent4" w:themeFillTint="33"/>
            <w:tcMar>
              <w:top w:w="100" w:type="dxa"/>
              <w:left w:w="100" w:type="dxa"/>
              <w:bottom w:w="100" w:type="dxa"/>
              <w:right w:w="100" w:type="dxa"/>
            </w:tcMar>
          </w:tcPr>
          <w:p w14:paraId="64F4EE15" w14:textId="77777777" w:rsidR="002A41AF" w:rsidRDefault="00A91815">
            <w:pPr>
              <w:widowControl w:val="0"/>
              <w:pBdr>
                <w:top w:val="nil"/>
                <w:left w:val="nil"/>
                <w:bottom w:val="nil"/>
                <w:right w:val="nil"/>
                <w:between w:val="nil"/>
              </w:pBdr>
              <w:spacing w:line="240" w:lineRule="auto"/>
              <w:jc w:val="center"/>
              <w:rPr>
                <w:b/>
                <w:bCs/>
              </w:rPr>
            </w:pPr>
            <w:r>
              <w:rPr>
                <w:b/>
                <w:bCs/>
              </w:rPr>
              <w:t>11.61%</w:t>
            </w:r>
          </w:p>
          <w:p w14:paraId="235E8774" w14:textId="77777777" w:rsidR="002A41AF" w:rsidRDefault="00A91815">
            <w:pPr>
              <w:widowControl w:val="0"/>
              <w:pBdr>
                <w:top w:val="nil"/>
                <w:left w:val="nil"/>
                <w:bottom w:val="nil"/>
                <w:right w:val="nil"/>
                <w:between w:val="nil"/>
              </w:pBdr>
              <w:spacing w:line="240" w:lineRule="auto"/>
              <w:jc w:val="center"/>
            </w:pPr>
            <w:r>
              <w:t>Profit Margin</w:t>
            </w:r>
          </w:p>
        </w:tc>
      </w:tr>
    </w:tbl>
    <w:p w14:paraId="3643A5DA" w14:textId="77777777" w:rsidR="002A41AF" w:rsidRDefault="002A41AF"/>
    <w:p w14:paraId="5C3E77AE" w14:textId="77777777" w:rsidR="002A41AF" w:rsidRDefault="00A91815">
      <w:pPr>
        <w:pStyle w:val="Heading1"/>
        <w:ind w:left="720"/>
        <w:rPr>
          <w:color w:val="1C4587"/>
        </w:rPr>
      </w:pPr>
      <w:bookmarkStart w:id="2" w:name="_q6qhi664kugr" w:colFirst="0" w:colLast="0"/>
      <w:bookmarkEnd w:id="2"/>
      <w:r>
        <w:rPr>
          <w:color w:val="1C4587"/>
        </w:rPr>
        <w:t>Key Insights</w:t>
      </w:r>
    </w:p>
    <w:p w14:paraId="63824618" w14:textId="1901108E" w:rsidR="002A41AF" w:rsidRDefault="00A91815" w:rsidP="00A91815">
      <w:pPr>
        <w:pStyle w:val="ListParagraph"/>
        <w:numPr>
          <w:ilvl w:val="0"/>
          <w:numId w:val="1"/>
        </w:numPr>
      </w:pPr>
      <w:r>
        <w:t>Technology is the top category by both volume (8K orders, $4.74M sales) and efficiency (13.99% margin vs. 11.61% baseline), with no sub-category losses</w:t>
      </w:r>
      <w:r>
        <w:t>.</w:t>
      </w:r>
    </w:p>
    <w:p w14:paraId="17C7F88A" w14:textId="6089AE08" w:rsidR="002A41AF" w:rsidRDefault="00A91815" w:rsidP="00A91815">
      <w:pPr>
        <w:pStyle w:val="ListParagraph"/>
        <w:numPr>
          <w:ilvl w:val="0"/>
          <w:numId w:val="1"/>
        </w:numPr>
      </w:pPr>
      <w:r>
        <w:t>Home Office, the smallest customer segment (18.3% of sales), converts revenue to profit more effi</w:t>
      </w:r>
      <w:r>
        <w:t>ciently than the average (11.99% vs. 11.61%).</w:t>
      </w:r>
    </w:p>
    <w:p w14:paraId="6D96763C" w14:textId="6E5E8E58" w:rsidR="002A41AF" w:rsidRDefault="00A91815" w:rsidP="00A91815">
      <w:pPr>
        <w:pStyle w:val="ListParagraph"/>
        <w:numPr>
          <w:ilvl w:val="0"/>
          <w:numId w:val="1"/>
        </w:numPr>
      </w:pPr>
      <w:r>
        <w:t xml:space="preserve">Tables is an </w:t>
      </w:r>
      <w:r>
        <w:t>unprofitable company-wide, a $64,083 loss and -8.46% margin, dragging down performance in every region and segment it touches.</w:t>
      </w:r>
    </w:p>
    <w:p w14:paraId="4042CD2A" w14:textId="47779DF2" w:rsidR="002A41AF" w:rsidRDefault="00A91815" w:rsidP="00A91815">
      <w:pPr>
        <w:pStyle w:val="ListParagraph"/>
        <w:numPr>
          <w:ilvl w:val="0"/>
          <w:numId w:val="1"/>
        </w:numPr>
      </w:pPr>
      <w:r>
        <w:t>Central, the top region by sales ($2.82M), has a below-average margin (11.03%), partly explained by Tables'</w:t>
      </w:r>
      <w:r>
        <w:t xml:space="preserve"> losses within the region.</w:t>
      </w:r>
    </w:p>
    <w:p w14:paraId="5DC5975A" w14:textId="615CC842" w:rsidR="002A41AF" w:rsidRDefault="00A91815" w:rsidP="00A91815">
      <w:pPr>
        <w:pStyle w:val="ListParagraph"/>
        <w:numPr>
          <w:ilvl w:val="0"/>
          <w:numId w:val="1"/>
        </w:numPr>
      </w:pPr>
      <w:r>
        <w:t>Sales show a consistent November - December seasonal peak in 3 of the last 4 years, layered on steady year-over-year</w:t>
      </w:r>
      <w:r>
        <w:t xml:space="preserve"> growth (2014 was the highest year on record at $4.30M).</w:t>
      </w:r>
    </w:p>
    <w:p w14:paraId="004C4266" w14:textId="77777777" w:rsidR="002A41AF" w:rsidRDefault="00A91815">
      <w:pPr>
        <w:pStyle w:val="Heading1"/>
        <w:ind w:left="720"/>
        <w:rPr>
          <w:color w:val="1C4587"/>
        </w:rPr>
      </w:pPr>
      <w:bookmarkStart w:id="3" w:name="_3h2sv2lfmcv0" w:colFirst="0" w:colLast="0"/>
      <w:bookmarkEnd w:id="3"/>
      <w:r>
        <w:rPr>
          <w:color w:val="1C4587"/>
        </w:rPr>
        <w:t>B</w:t>
      </w:r>
      <w:r>
        <w:rPr>
          <w:color w:val="1C4587"/>
        </w:rPr>
        <w:t>usiness Risks</w:t>
      </w:r>
    </w:p>
    <w:p w14:paraId="089BE959" w14:textId="699ABA88" w:rsidR="002A41AF" w:rsidRDefault="00A91815" w:rsidP="00A91815">
      <w:pPr>
        <w:pStyle w:val="ListParagraph"/>
        <w:numPr>
          <w:ilvl w:val="0"/>
          <w:numId w:val="2"/>
        </w:numPr>
      </w:pPr>
      <w:r>
        <w:t>Tables’ company-wide</w:t>
      </w:r>
      <w:r>
        <w:t xml:space="preserve"> loss is actively eroding overall profitability and will continue dragging down otherwise-healthy regions and segments if left unhandled.</w:t>
      </w:r>
    </w:p>
    <w:p w14:paraId="6053A7D7" w14:textId="24ABD031" w:rsidR="002A41AF" w:rsidRDefault="00A91815" w:rsidP="00A91815">
      <w:pPr>
        <w:pStyle w:val="ListParagraph"/>
        <w:numPr>
          <w:ilvl w:val="0"/>
          <w:numId w:val="2"/>
        </w:numPr>
      </w:pPr>
      <w:r>
        <w:t>Central’s strong sales volume masks a below-average margin; top-line</w:t>
      </w:r>
      <w:r>
        <w:t xml:space="preserve"> performance can hide </w:t>
      </w:r>
      <w:r>
        <w:t>underlying profitability problems.</w:t>
      </w:r>
    </w:p>
    <w:p w14:paraId="045AC747" w14:textId="34690861" w:rsidR="002A41AF" w:rsidRDefault="00A91815" w:rsidP="00A91815">
      <w:pPr>
        <w:pStyle w:val="ListParagraph"/>
        <w:numPr>
          <w:ilvl w:val="0"/>
          <w:numId w:val="2"/>
        </w:numPr>
      </w:pPr>
      <w:r>
        <w:t>Canada’s high profit margin (26.62%) is based on a very small sample (201 orders), so treating it as a proven strength risks misallocating resources on an unreliable signal.</w:t>
      </w:r>
    </w:p>
    <w:p w14:paraId="299BB3BB" w14:textId="77777777" w:rsidR="002A41AF" w:rsidRDefault="00A91815">
      <w:pPr>
        <w:pStyle w:val="Heading1"/>
        <w:ind w:left="720"/>
        <w:rPr>
          <w:color w:val="1C4587"/>
        </w:rPr>
      </w:pPr>
      <w:bookmarkStart w:id="4" w:name="_k5wm3zhpni5" w:colFirst="0" w:colLast="0"/>
      <w:bookmarkEnd w:id="4"/>
      <w:r>
        <w:rPr>
          <w:color w:val="1C4587"/>
        </w:rPr>
        <w:lastRenderedPageBreak/>
        <w:t>B</w:t>
      </w:r>
      <w:r>
        <w:rPr>
          <w:color w:val="1C4587"/>
        </w:rPr>
        <w:t>usiness Opportunities</w:t>
      </w:r>
    </w:p>
    <w:p w14:paraId="554AC49B" w14:textId="30533206" w:rsidR="002A41AF" w:rsidRDefault="00A91815" w:rsidP="00A91815">
      <w:pPr>
        <w:pStyle w:val="ListParagraph"/>
        <w:numPr>
          <w:ilvl w:val="0"/>
          <w:numId w:val="3"/>
        </w:numPr>
      </w:pPr>
      <w:r>
        <w:t>Technology’s combi</w:t>
      </w:r>
      <w:r>
        <w:t>nation of strong volume and margin makes it the clearest, lowest-risk candidate for further investment.</w:t>
      </w:r>
    </w:p>
    <w:p w14:paraId="30654693" w14:textId="0E352DAA" w:rsidR="002A41AF" w:rsidRDefault="00A91815" w:rsidP="00A91815">
      <w:pPr>
        <w:pStyle w:val="ListParagraph"/>
        <w:numPr>
          <w:ilvl w:val="0"/>
          <w:numId w:val="3"/>
        </w:numPr>
      </w:pPr>
      <w:r>
        <w:t>Home Office’s above-average efficiency despite its small size suggests real room for targeted growth.</w:t>
      </w:r>
    </w:p>
    <w:p w14:paraId="38514E31" w14:textId="473B9328" w:rsidR="002A41AF" w:rsidRDefault="00A91815" w:rsidP="00A91815">
      <w:pPr>
        <w:pStyle w:val="ListParagraph"/>
        <w:numPr>
          <w:ilvl w:val="0"/>
          <w:numId w:val="3"/>
        </w:numPr>
      </w:pPr>
      <w:r>
        <w:t>The predictable November - December sales pe</w:t>
      </w:r>
      <w:r>
        <w:t>ak allows proactive inventory and marketing planning instead of active scrambling.</w:t>
      </w:r>
    </w:p>
    <w:p w14:paraId="22319102" w14:textId="13CFAE41" w:rsidR="002A41AF" w:rsidRPr="00A91815" w:rsidRDefault="00A91815" w:rsidP="00A91815">
      <w:pPr>
        <w:pStyle w:val="Heading1"/>
        <w:ind w:firstLine="720"/>
        <w:rPr>
          <w:color w:val="1F497D" w:themeColor="text2"/>
        </w:rPr>
      </w:pPr>
      <w:r w:rsidRPr="00A91815">
        <w:rPr>
          <w:color w:val="1F497D" w:themeColor="text2"/>
        </w:rPr>
        <w:t>Recommendations</w:t>
      </w:r>
    </w:p>
    <w:p w14:paraId="6294C015" w14:textId="16EB7C0E" w:rsidR="002A41AF" w:rsidRDefault="00A91815" w:rsidP="00A91815">
      <w:pPr>
        <w:pStyle w:val="ListParagraph"/>
        <w:numPr>
          <w:ilvl w:val="0"/>
          <w:numId w:val="4"/>
        </w:numPr>
      </w:pPr>
      <w:r>
        <w:t>Cap or reduce discounts on the Tables sub-category company-wide</w:t>
      </w:r>
      <w:r>
        <w:t>, alongside a full cost and pricing review, to address its structural loss.</w:t>
      </w:r>
    </w:p>
    <w:p w14:paraId="7F99D4F8" w14:textId="70908EB3" w:rsidR="002A41AF" w:rsidRDefault="00A91815" w:rsidP="00A91815">
      <w:pPr>
        <w:pStyle w:val="ListParagraph"/>
        <w:numPr>
          <w:ilvl w:val="0"/>
          <w:numId w:val="4"/>
        </w:numPr>
      </w:pPr>
      <w:r>
        <w:t>Apply the same discount controls to Central’s Tables sub-category specifically, as a fast win ahead of a broade</w:t>
      </w:r>
      <w:r>
        <w:t>r regional cost review.</w:t>
      </w:r>
    </w:p>
    <w:p w14:paraId="4B8C2B26" w14:textId="0F42B19C" w:rsidR="002A41AF" w:rsidRDefault="00A91815" w:rsidP="00A91815">
      <w:pPr>
        <w:pStyle w:val="ListParagraph"/>
        <w:numPr>
          <w:ilvl w:val="0"/>
          <w:numId w:val="4"/>
        </w:numPr>
      </w:pPr>
      <w:r>
        <w:t>Run a small, low-cost pilot marketing campaign in Canada to test whether its high margin holds as order volume grows.</w:t>
      </w:r>
    </w:p>
    <w:p w14:paraId="5B6030C9" w14:textId="388B83A6" w:rsidR="002A41AF" w:rsidRDefault="00A91815" w:rsidP="00A91815">
      <w:pPr>
        <w:pStyle w:val="ListParagraph"/>
        <w:numPr>
          <w:ilvl w:val="0"/>
          <w:numId w:val="4"/>
        </w:numPr>
      </w:pPr>
      <w:r>
        <w:t xml:space="preserve">Reallocate additional marketing and inventory investment toward Technology, given its proven combination of </w:t>
      </w:r>
      <w:r>
        <w:t>volume and profitability.</w:t>
      </w:r>
    </w:p>
    <w:p w14:paraId="30CFA973" w14:textId="56C386F5" w:rsidR="002A41AF" w:rsidRDefault="00A91815" w:rsidP="00A91815">
      <w:pPr>
        <w:pStyle w:val="ListParagraph"/>
        <w:numPr>
          <w:ilvl w:val="0"/>
          <w:numId w:val="4"/>
        </w:numPr>
      </w:pPr>
      <w:r>
        <w:t>Increase inventory levels and launch marketing campaigns ahead of the confirmed November - December peak, rather than reacting once demand has already arrived.</w:t>
      </w:r>
    </w:p>
    <w:sectPr w:rsidR="002A41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EF8C024-D5C5-4D8A-BB66-05A1D76D8037}"/>
  </w:font>
  <w:font w:name="Cambria">
    <w:panose1 w:val="02040503050406030204"/>
    <w:charset w:val="00"/>
    <w:family w:val="roman"/>
    <w:pitch w:val="variable"/>
    <w:sig w:usb0="E00006FF" w:usb1="420024FF" w:usb2="02000000" w:usb3="00000000" w:csb0="0000019F" w:csb1="00000000"/>
    <w:embedRegular r:id="rId2" w:fontKey="{FABB5162-E475-40B4-82E7-31F8F0D22A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23C8"/>
    <w:multiLevelType w:val="hybridMultilevel"/>
    <w:tmpl w:val="82685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C7A37"/>
    <w:multiLevelType w:val="hybridMultilevel"/>
    <w:tmpl w:val="B1E2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15756"/>
    <w:multiLevelType w:val="hybridMultilevel"/>
    <w:tmpl w:val="4230B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4464F7"/>
    <w:multiLevelType w:val="hybridMultilevel"/>
    <w:tmpl w:val="F8EC2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1AF"/>
    <w:rsid w:val="002A41AF"/>
    <w:rsid w:val="00A91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C9D4"/>
  <w15:docId w15:val="{CBDEF5F4-E4EB-44C9-B39E-9CBF1549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A91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2026-08-15T09:54:00Z</dcterms:created>
  <dcterms:modified xsi:type="dcterms:W3CDTF">2026-08-15T10:00:00Z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5ed32a42-03bd-417a-8425-44859d080006</vt:lpwstr>
  </property>
</Properties>
</file>