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widowControl/>
        <w:spacing w:before="0" w:after="160" w:line="240" w:lineRule="auto"/>
        <w:jc w:val="center"/>
      </w:pPr>
      <w:r>
        <w:rPr>
          <w:rFonts w:ascii="Arial" w:hAnsi="Arial" w:eastAsia="Arial"/>
          <w:b/>
          <w:i w:val="0"/>
          <w:color w:val="1F3864"/>
          <w:sz w:val="34"/>
        </w:rPr>
        <w:t>Updated Research Plan</w:t>
      </w:r>
    </w:p>
    <w:p>
      <w:pPr>
        <w:keepNext w:val="0"/>
        <w:widowControl/>
        <w:spacing w:before="0" w:after="80" w:line="252" w:lineRule="auto"/>
        <w:jc w:val="center"/>
      </w:pPr>
      <w:r>
        <w:rPr>
          <w:rFonts w:ascii="Arial" w:hAnsi="Arial" w:eastAsia="Arial"/>
          <w:b/>
          <w:i w:val="0"/>
          <w:color w:val="2E75B7"/>
          <w:sz w:val="25"/>
        </w:rPr>
        <w:t>Reasoning Quality, Reasoning Style, and Sycophancy in Language Models</w:t>
      </w:r>
    </w:p>
    <w:p>
      <w:pPr>
        <w:keepNext w:val="0"/>
        <w:widowControl/>
        <w:spacing w:before="0" w:after="220" w:line="240" w:lineRule="auto"/>
        <w:jc w:val="center"/>
      </w:pPr>
      <w:r>
        <w:rPr>
          <w:rFonts w:ascii="Arial" w:hAnsi="Arial" w:eastAsia="Arial"/>
          <w:b w:val="0"/>
          <w:i/>
          <w:color w:val="444444"/>
          <w:sz w:val="19"/>
        </w:rPr>
        <w:t>A grounded behavioural and mechanistic study using published deductive-reasoning data</w:t>
      </w:r>
    </w:p>
    <w:p>
      <w:pPr>
        <w:keepNext w:val="0"/>
        <w:widowControl/>
        <w:spacing w:before="0" w:after="20" w:line="240" w:lineRule="auto"/>
        <w:jc w:val="center"/>
      </w:pPr>
      <w:r>
        <w:rPr>
          <w:rFonts w:ascii="Arial" w:hAnsi="Arial" w:eastAsia="Arial"/>
          <w:b w:val="0"/>
          <w:i w:val="0"/>
          <w:color w:val="444444"/>
          <w:sz w:val="18"/>
        </w:rPr>
        <w:t>Vidhi Bhutani</w:t>
      </w:r>
    </w:p>
    <w:p>
      <w:pPr>
        <w:keepNext w:val="0"/>
        <w:widowControl/>
        <w:spacing w:before="0" w:after="20" w:line="240" w:lineRule="auto"/>
        <w:jc w:val="center"/>
      </w:pPr>
      <w:r>
        <w:rPr>
          <w:rFonts w:ascii="Arial" w:hAnsi="Arial" w:eastAsia="Arial"/>
          <w:b w:val="0"/>
          <w:i w:val="0"/>
          <w:color w:val="444444"/>
          <w:sz w:val="18"/>
        </w:rPr>
        <w:t>Supervisor: Prof. Yusuke Miyao</w:t>
      </w:r>
    </w:p>
    <w:p>
      <w:pPr>
        <w:keepNext w:val="0"/>
        <w:widowControl/>
        <w:spacing w:before="0" w:after="20" w:line="240" w:lineRule="auto"/>
        <w:jc w:val="center"/>
      </w:pPr>
      <w:r>
        <w:rPr>
          <w:rFonts w:ascii="Arial" w:hAnsi="Arial" w:eastAsia="Arial"/>
          <w:b w:val="0"/>
          <w:i w:val="0"/>
          <w:color w:val="444444"/>
          <w:sz w:val="18"/>
        </w:rPr>
        <w:t>October 2026</w:t>
      </w:r>
    </w:p>
    <w:p>
      <w:pPr>
        <w:pStyle w:val="Heading1"/>
        <w:keepNext/>
        <w:spacing w:before="240" w:after="100"/>
      </w:pPr>
      <w:r>
        <w:rPr>
          <w:rFonts w:ascii="Arial" w:hAnsi="Arial" w:eastAsia="Arial"/>
          <w:b/>
          <w:i w:val="0"/>
          <w:color w:val="1F5C9A"/>
          <w:sz w:val="28"/>
        </w:rPr>
        <w:t>1. Research Direction After Supervisor Feedback</w:t>
      </w:r>
    </w:p>
    <w:p>
      <w:pPr>
        <w:keepNext w:val="0"/>
        <w:widowControl/>
        <w:spacing w:before="0" w:after="100" w:line="259" w:lineRule="auto"/>
      </w:pPr>
      <w:r>
        <w:rPr>
          <w:rFonts w:ascii="Arial" w:hAnsi="Arial" w:eastAsia="Arial"/>
          <w:b w:val="0"/>
          <w:i w:val="0"/>
          <w:color w:val="000000"/>
          <w:sz w:val="20"/>
        </w:rPr>
        <w:t>The earlier project asked whether a counterargument becomes more persuasive when it contains a small set of connecting phrases. That pilot was useful, but connecting words alone are too narrow to carry the main originality of the thesis. The revised project studies a larger and more important distinction: whether a model follows the logical quality of an argument, or is influenced by the way that argument is organised, introduced, and endorsed by a user.</w:t>
      </w:r>
    </w:p>
    <w:p>
      <w:pPr>
        <w:keepNext w:val="0"/>
        <w:keepLines/>
        <w:widowControl/>
        <w:spacing w:before="40" w:after="120" w:line="259" w:lineRule="auto"/>
        <w:ind w:left="115" w:right="115"/>
        <w:shd w:fill="EAF2F8"/>
        <w:pBdr>
          <w:top w:val="single" w:sz="7" w:space="5" w:color="9CC2E5"/>
          <w:left w:val="single" w:sz="7" w:space="5" w:color="9CC2E5"/>
          <w:bottom w:val="single" w:sz="7" w:space="5" w:color="9CC2E5"/>
          <w:right w:val="single" w:sz="7" w:space="5" w:color="9CC2E5"/>
        </w:pBdr>
      </w:pPr>
      <w:r>
        <w:rPr>
          <w:rFonts w:ascii="Arial" w:hAnsi="Arial" w:eastAsia="Arial"/>
          <w:b/>
          <w:i w:val="0"/>
          <w:color w:val="1F3864"/>
          <w:sz w:val="20"/>
        </w:rPr>
        <w:t xml:space="preserve">Revised core question: </w:t>
      </w:r>
      <w:r>
        <w:rPr>
          <w:rFonts w:ascii="Arial" w:hAnsi="Arial" w:eastAsia="Arial"/>
          <w:b w:val="0"/>
          <w:i w:val="0"/>
          <w:color w:val="1F3864"/>
          <w:sz w:val="20"/>
        </w:rPr>
        <w:t>Does structured reasoning presentation make a language model accept a flawed argument, and which internal computations contribute to this change?</w:t>
      </w:r>
    </w:p>
    <w:p>
      <w:pPr>
        <w:keepNext w:val="0"/>
        <w:widowControl/>
        <w:spacing w:before="0" w:after="100" w:line="259" w:lineRule="auto"/>
      </w:pPr>
      <w:r>
        <w:rPr>
          <w:rFonts w:ascii="Arial" w:hAnsi="Arial" w:eastAsia="Arial"/>
          <w:b w:val="0"/>
          <w:i w:val="0"/>
          <w:color w:val="000000"/>
          <w:sz w:val="20"/>
        </w:rPr>
        <w:t>The study will use published, self-contained reasoning datasets with known answers. It will separately vary argument quality, reasoning presentation, and social framing. This makes it possible to distinguish harmful agreement with an incorrect user from appropriate correction, ordinary reconsideration, and genuine response to a sound argument.</w:t>
      </w:r>
    </w:p>
    <w:p>
      <w:pPr>
        <w:pStyle w:val="Heading1"/>
        <w:keepNext/>
        <w:spacing w:before="240" w:after="100"/>
      </w:pPr>
      <w:r>
        <w:rPr>
          <w:rFonts w:ascii="Arial" w:hAnsi="Arial" w:eastAsia="Arial"/>
          <w:b/>
          <w:i w:val="0"/>
          <w:color w:val="1F5C9A"/>
          <w:sz w:val="28"/>
        </w:rPr>
        <w:t>2. Work Completed So Far</w:t>
      </w:r>
    </w:p>
    <w:p>
      <w:pPr>
        <w:keepNext w:val="0"/>
        <w:widowControl/>
        <w:spacing w:before="0" w:after="100" w:line="259" w:lineRule="auto"/>
      </w:pPr>
      <w:r>
        <w:rPr>
          <w:rFonts w:ascii="Arial" w:hAnsi="Arial" w:eastAsia="Arial"/>
          <w:b w:val="0"/>
          <w:i w:val="0"/>
          <w:color w:val="000000"/>
          <w:sz w:val="20"/>
        </w:rPr>
        <w:t>A complete pilot pipeline has already been developed for the earlier question, “Reason or the Language of Reason?” The pilot contains 60 underlying decisions, two scenario versions per decision, four matched counterargument conditions, 12 connecting markers, three opening styles, and both Base and Instruct versions of Llama 3.1 8B. The local evaluation produced 4,320 stimuli and used deterministic A/B scoring, exact answer-token logits, and a decision-clustered bootstrap with 9,999 resamples.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264"/>
        <w:gridCol w:w="3264"/>
        <w:gridCol w:w="3264"/>
      </w:tblGrid>
      <w:tr>
        <w:trPr>
          <w:tblHeader w:val="true"/>
        </w:trPr>
        <w:tc>
          <w:tcPr>
            <w:tcW w:type="dxa" w:w="2880"/>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Completed work</w:t>
            </w:r>
          </w:p>
        </w:tc>
        <w:tc>
          <w:tcPr>
            <w:tcW w:type="dxa" w:w="3384"/>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What it showed</w:t>
            </w:r>
          </w:p>
        </w:tc>
        <w:tc>
          <w:tcPr>
            <w:tcW w:type="dxa" w:w="3528"/>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How it informs the revision</w:t>
            </w:r>
          </w:p>
        </w:tc>
      </w:tr>
      <w:tr>
        <w:trPr>
          <w:cantSplit/>
        </w:trPr>
        <w:tc>
          <w:tcPr>
            <w:tcW w:type="dxa" w:w="2880"/>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Matched four-condition design (RS, RP, NS, NP)</w:t>
            </w:r>
          </w:p>
        </w:tc>
        <w:tc>
          <w:tcPr>
            <w:tcW w:type="dxa" w:w="3384"/>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Argument content and language style can be changed separately in a controlled prompt.</w:t>
            </w:r>
          </w:p>
        </w:tc>
        <w:tc>
          <w:tcPr>
            <w:tcW w:type="dxa" w:w="352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Keep the matched-design discipline, but broaden style beyond individual phrases.</w:t>
            </w:r>
          </w:p>
        </w:tc>
      </w:tr>
      <w:tr>
        <w:trPr>
          <w:cantSplit/>
        </w:trPr>
        <w:tc>
          <w:tcPr>
            <w:tcW w:type="dxa" w:w="2880"/>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Multiple markers and openings</w:t>
            </w:r>
          </w:p>
        </w:tc>
        <w:tc>
          <w:tcPr>
            <w:tcW w:type="dxa" w:w="3384"/>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Effects differ across wording and opening families; this variation is informative rather than a reason to delete phrases.</w:t>
            </w:r>
          </w:p>
        </w:tc>
        <w:tc>
          <w:tcPr>
            <w:tcW w:type="dxa" w:w="352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Treat marker and opening variation as planned heterogeneity and robustness evidence.</w:t>
            </w:r>
          </w:p>
        </w:tc>
      </w:tr>
      <w:tr>
        <w:trPr>
          <w:cantSplit/>
        </w:trPr>
        <w:tc>
          <w:tcPr>
            <w:tcW w:type="dxa" w:w="2880"/>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Base and Instruct model comparison</w:t>
            </w:r>
          </w:p>
        </w:tc>
        <w:tc>
          <w:tcPr>
            <w:tcW w:type="dxa" w:w="3384"/>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Model type and answer format can strongly change the observed response.</w:t>
            </w:r>
          </w:p>
        </w:tc>
        <w:tc>
          <w:tcPr>
            <w:tcW w:type="dxa" w:w="352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Use stronger format controls and replicate only after finding an unsaturated effect.</w:t>
            </w:r>
          </w:p>
        </w:tc>
      </w:tr>
      <w:tr>
        <w:trPr>
          <w:cantSplit/>
        </w:trPr>
        <w:tc>
          <w:tcPr>
            <w:tcW w:type="dxa" w:w="2880"/>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Deterministic logit analysis</w:t>
            </w:r>
          </w:p>
        </w:tc>
        <w:tc>
          <w:tcPr>
            <w:tcW w:type="dxa" w:w="3384"/>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Continuous answer preference can be measured even when final-choice flips are saturated.</w:t>
            </w:r>
          </w:p>
        </w:tc>
        <w:tc>
          <w:tcPr>
            <w:tcW w:type="dxa" w:w="352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Retain logit margins, but connect them to gold-answer accuracy and validity judgments.</w:t>
            </w:r>
          </w:p>
        </w:tc>
      </w:tr>
    </w:tbl>
    <w:p>
      <w:pPr>
        <w:spacing w:after="0"/>
      </w:pPr>
    </w:p>
    <w:p>
      <w:pPr>
        <w:keepNext w:val="0"/>
        <w:widowControl/>
        <w:spacing w:before="0" w:after="100" w:line="259" w:lineRule="auto"/>
      </w:pPr>
      <w:r>
        <w:rPr>
          <w:rFonts w:ascii="Arial" w:hAnsi="Arial" w:eastAsia="Arial"/>
          <w:b w:val="0"/>
          <w:i w:val="0"/>
          <w:color w:val="000000"/>
          <w:sz w:val="20"/>
        </w:rPr>
        <w:t>The clearest positive result from the pilot is that substantive counterargument content produced reliable movement in the predicted direction in several planned contrasts. It also revealed that some final-choice flip rates were near the ceiling and that the Base model had a strong initial preference for the A label. These observations are not discarded: they guide better controls, a cleaner outcome definition, and a less fragile prompt format in the next study.</w:t>
      </w:r>
    </w:p>
    <w:p>
      <w:pPr>
        <w:keepNext w:val="0"/>
        <w:widowControl/>
        <w:spacing w:before="0" w:after="100" w:line="259" w:lineRule="auto"/>
      </w:pPr>
      <w:r>
        <w:rPr>
          <w:rFonts w:ascii="Arial" w:hAnsi="Arial" w:eastAsia="Arial"/>
          <w:b w:val="0"/>
          <w:i w:val="0"/>
          <w:color w:val="000000"/>
          <w:sz w:val="20"/>
        </w:rPr>
        <w:t>The existing corpus and analysis will therefore be reported as developmental evidence. They demonstrate that the pipeline works and that wording, openings, model type, and response labels must be controlled. They will not be used as the final evidence for whether an argument is logically good or whether a change is correct, because the original scenarios do not provide an objective ground-truth answer.</w:t>
      </w:r>
    </w:p>
    <w:p>
      <w:pPr>
        <w:pStyle w:val="Heading1"/>
        <w:keepNext/>
        <w:spacing w:before="240" w:after="100"/>
      </w:pPr>
      <w:r>
        <w:rPr>
          <w:rFonts w:ascii="Arial" w:hAnsi="Arial" w:eastAsia="Arial"/>
          <w:b/>
          <w:i w:val="0"/>
          <w:color w:val="1F5C9A"/>
          <w:sz w:val="28"/>
        </w:rPr>
        <w:t>3. Revised Research Question and Contribution</w:t>
      </w:r>
    </w:p>
    <w:p>
      <w:pPr>
        <w:keepNext w:val="0"/>
        <w:widowControl/>
        <w:spacing w:before="0" w:after="100" w:line="259" w:lineRule="auto"/>
      </w:pPr>
      <w:r>
        <w:rPr>
          <w:rFonts w:ascii="Arial" w:hAnsi="Arial" w:eastAsia="Arial"/>
          <w:b w:val="0"/>
          <w:i w:val="0"/>
          <w:color w:val="000000"/>
          <w:sz w:val="20"/>
        </w:rPr>
        <w:t>The revised study separates three factors that were partly mixed together in the earlier design:</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i w:val="0"/>
          <w:color w:val="000000"/>
          <w:sz w:val="20"/>
        </w:rPr>
        <w:t>Reasoning quality:</w:t>
      </w:r>
      <w:r>
        <w:rPr>
          <w:rFonts w:ascii="Arial" w:hAnsi="Arial" w:eastAsia="Arial"/>
          <w:b w:val="0"/>
          <w:i w:val="0"/>
          <w:color w:val="000000"/>
          <w:sz w:val="20"/>
        </w:rPr>
        <w:t xml:space="preserve"> whether the stated premises actually support the conclusion under the supplied facts.</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i w:val="0"/>
          <w:color w:val="000000"/>
          <w:sz w:val="20"/>
        </w:rPr>
        <w:t>Reasoning presentation:</w:t>
      </w:r>
      <w:r>
        <w:rPr>
          <w:rFonts w:ascii="Arial" w:hAnsi="Arial" w:eastAsia="Arial"/>
          <w:b w:val="0"/>
          <w:i w:val="0"/>
          <w:color w:val="000000"/>
          <w:sz w:val="20"/>
        </w:rPr>
        <w:t xml:space="preserve"> whether the same propositions appear as ordinary prose, labelled premises and conclusion, numbered steps, or an equivalent symbolic form.</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i w:val="0"/>
          <w:color w:val="000000"/>
          <w:sz w:val="20"/>
        </w:rPr>
        <w:t>User framing:</w:t>
      </w:r>
      <w:r>
        <w:rPr>
          <w:rFonts w:ascii="Arial" w:hAnsi="Arial" w:eastAsia="Arial"/>
          <w:b w:val="0"/>
          <w:i w:val="0"/>
          <w:color w:val="000000"/>
          <w:sz w:val="20"/>
        </w:rPr>
        <w:t xml:space="preserve"> whether the argument is presented without an opening, introduced neutrally, personally endorsed by the user, or quoted as a claim to be evaluated.</w:t>
      </w:r>
    </w:p>
    <w:p>
      <w:pPr>
        <w:keepNext w:val="0"/>
        <w:widowControl/>
        <w:spacing w:before="0" w:after="100" w:line="259" w:lineRule="auto"/>
      </w:pPr>
      <w:r>
        <w:rPr>
          <w:rFonts w:ascii="Arial" w:hAnsi="Arial" w:eastAsia="Arial"/>
          <w:b w:val="0"/>
          <w:i w:val="0"/>
          <w:color w:val="000000"/>
          <w:sz w:val="20"/>
        </w:rPr>
        <w:t>The main proposed contribution is the joint test of these factors on problems with known answers. The model will be asked both for its final answer and, in a separate matched run, whether the challenger’s reasoning is valid. This allows two possible failures to be separated: the model may misjudge a weak argument as strong, or it may recognise the weakness but follow the user’s conclusion anyway.</w:t>
      </w:r>
    </w:p>
    <w:p>
      <w:pPr>
        <w:keepNext w:val="0"/>
        <w:widowControl/>
        <w:spacing w:before="0" w:after="100" w:line="259" w:lineRule="auto"/>
      </w:pPr>
      <w:r>
        <w:rPr>
          <w:rFonts w:ascii="Arial" w:hAnsi="Arial" w:eastAsia="Arial"/>
          <w:b w:val="0"/>
          <w:i w:val="0"/>
          <w:color w:val="000000"/>
          <w:sz w:val="20"/>
        </w:rPr>
        <w:t>The connecting phrases from the pilot remain useful, but only as a secondary lexical robustness test. They can show whether words such as “therefore” or “this implies” strengthen a broader structural effect. They are no longer presented as the central scientific contribution.</w:t>
      </w:r>
    </w:p>
    <w:p>
      <w:pPr>
        <w:keepNext w:val="0"/>
        <w:widowControl/>
        <w:spacing w:before="0" w:after="100" w:line="259" w:lineRule="auto"/>
      </w:pPr>
      <w:r>
        <w:rPr>
          <w:rFonts w:ascii="Arial" w:hAnsi="Arial" w:eastAsia="Arial"/>
          <w:b w:val="0"/>
          <w:i w:val="0"/>
          <w:color w:val="000000"/>
          <w:sz w:val="20"/>
        </w:rPr>
        <w:t>A novelty claim will be made cautiously. Related work already studies argument strength, sycophancy, logit-lens trajectories, and activation patching. The intended novelty is the controlled separation of logical quality, reasoning organisation, and user endorsement, together with a causal test of when these factors change the answer. A systematic literature review will be completed before making a final conference claim.</w:t>
      </w:r>
    </w:p>
    <w:p>
      <w:pPr>
        <w:pStyle w:val="Heading1"/>
        <w:keepNext/>
        <w:spacing w:before="240" w:after="100"/>
      </w:pPr>
      <w:r>
        <w:rPr>
          <w:rFonts w:ascii="Arial" w:hAnsi="Arial" w:eastAsia="Arial"/>
          <w:b/>
          <w:i w:val="0"/>
          <w:color w:val="1F5C9A"/>
          <w:sz w:val="28"/>
        </w:rPr>
        <w:t>4. Dataset Choice</w:t>
      </w:r>
    </w:p>
    <w:p>
      <w:pPr>
        <w:keepNext w:val="0"/>
        <w:widowControl/>
        <w:spacing w:before="0" w:after="100" w:line="259" w:lineRule="auto"/>
      </w:pPr>
      <w:r>
        <w:rPr>
          <w:rFonts w:ascii="Arial" w:hAnsi="Arial" w:eastAsia="Arial"/>
          <w:b w:val="0"/>
          <w:i w:val="0"/>
          <w:color w:val="000000"/>
          <w:sz w:val="20"/>
        </w:rPr>
        <w:t>The new experiment will not depend on scenarios designed from scratch or on an external API to create gold labels. Published datasets provide known answers, transparent generation procedures, and a stronger basis for evaluating whether updating is correct.</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264"/>
        <w:gridCol w:w="3264"/>
        <w:gridCol w:w="3264"/>
      </w:tblGrid>
      <w:tr>
        <w:trPr>
          <w:tblHeader w:val="true"/>
        </w:trPr>
        <w:tc>
          <w:tcPr>
            <w:tcW w:type="dxa" w:w="1944"/>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7"/>
              </w:rPr>
              <w:t>Dataset</w:t>
            </w:r>
          </w:p>
        </w:tc>
        <w:tc>
          <w:tcPr>
            <w:tcW w:type="dxa" w:w="3311"/>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7"/>
              </w:rPr>
              <w:t>Role in the project</w:t>
            </w:r>
          </w:p>
        </w:tc>
        <w:tc>
          <w:tcPr>
            <w:tcW w:type="dxa" w:w="4536"/>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7"/>
              </w:rPr>
              <w:t>Reason for the choice</w:t>
            </w:r>
          </w:p>
        </w:tc>
      </w:tr>
      <w:tr>
        <w:trPr>
          <w:cantSplit/>
        </w:trPr>
        <w:tc>
          <w:tcPr>
            <w:tcW w:type="dxa" w:w="1944"/>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PrOntoQA (primary)</w:t>
            </w:r>
          </w:p>
        </w:tc>
        <w:tc>
          <w:tcPr>
            <w:tcW w:type="dxa" w:w="3311"/>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Main behavioural dataset and source of matched reasoning problems.</w:t>
            </w:r>
          </w:p>
        </w:tc>
        <w:tc>
          <w:tcPr>
            <w:tcW w:type="dxa" w:w="4536"/>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Synthetic, self-contained worlds with known labels and derivation chains; published data, generation code, and analysis code are available.</w:t>
            </w:r>
          </w:p>
        </w:tc>
      </w:tr>
      <w:tr>
        <w:trPr>
          <w:cantSplit/>
        </w:trPr>
        <w:tc>
          <w:tcPr>
            <w:tcW w:type="dxa" w:w="1944"/>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ProofWriter (alternative / replication)</w:t>
            </w:r>
          </w:p>
        </w:tc>
        <w:tc>
          <w:tcPr>
            <w:tcW w:type="dxa" w:w="3311"/>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Context-based replication if PrOntoQA is too simple or effects do not transfer.</w:t>
            </w:r>
          </w:p>
        </w:tc>
        <w:tc>
          <w:tcPr>
            <w:tcW w:type="dxa" w:w="4536"/>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Explicit facts and rules support objective scoring and rule-chain checks.</w:t>
            </w:r>
          </w:p>
        </w:tc>
      </w:tr>
      <w:tr>
        <w:trPr>
          <w:cantSplit/>
        </w:trPr>
        <w:tc>
          <w:tcPr>
            <w:tcW w:type="dxa" w:w="1944"/>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SycophancyEval (secondary reference)</w:t>
            </w:r>
          </w:p>
        </w:tc>
        <w:tc>
          <w:tcPr>
            <w:tcW w:type="dxa" w:w="3311"/>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Small comparison with an established sycophancy resource.</w:t>
            </w:r>
          </w:p>
        </w:tc>
        <w:tc>
          <w:tcPr>
            <w:tcW w:type="dxa" w:w="4536"/>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Useful for external comparison, but some factual items are less aligned with the requirement to use only the supplied scenario.</w:t>
            </w:r>
          </w:p>
        </w:tc>
      </w:tr>
    </w:tbl>
    <w:p>
      <w:pPr>
        <w:spacing w:after="0"/>
      </w:pPr>
    </w:p>
    <w:p>
      <w:pPr>
        <w:keepNext w:val="0"/>
        <w:widowControl/>
        <w:spacing w:before="0" w:after="100" w:line="259" w:lineRule="auto"/>
      </w:pPr>
      <w:r>
        <w:rPr>
          <w:rFonts w:ascii="Arial" w:hAnsi="Arial" w:eastAsia="Arial"/>
          <w:b w:val="0"/>
          <w:i w:val="0"/>
          <w:color w:val="000000"/>
          <w:sz w:val="20"/>
        </w:rPr>
        <w:t>PrOntoQA is the first choice because each item supplies a miniature world, rules, a query, and a known answer. Evaluation prompts will explicitly instruct the model to use only the supplied information. No web search, retrieval tool, or live internet source will be available during testing. A pretrained model still contains prior knowledge, but fictional entities and self-contained rules reduce the need to use it.</w:t>
      </w:r>
    </w:p>
    <w:p>
      <w:pPr>
        <w:keepNext w:val="0"/>
        <w:widowControl/>
        <w:spacing w:before="0" w:after="100" w:line="259" w:lineRule="auto"/>
      </w:pPr>
      <w:r>
        <w:rPr>
          <w:rFonts w:ascii="Arial" w:hAnsi="Arial" w:eastAsia="Arial"/>
          <w:b w:val="0"/>
          <w:i w:val="0"/>
          <w:color w:val="000000"/>
          <w:sz w:val="20"/>
        </w:rPr>
        <w:t>A small subset of published items will be adapted into matched dialogues. Adaptation will change only the user’s challenge and its presentation; the original facts, rule structure, query, and gold label will be preserved. Any automatically drafted paraphrase will be checked by rule-based comparison and human review. An API-generated sentence will never define the correct answer or the validity label.</w:t>
      </w:r>
    </w:p>
    <w:p>
      <w:pPr>
        <w:pStyle w:val="Heading1"/>
        <w:keepNext/>
        <w:spacing w:before="240" w:after="100"/>
      </w:pPr>
      <w:r>
        <w:rPr>
          <w:rFonts w:ascii="Arial" w:hAnsi="Arial" w:eastAsia="Arial"/>
          <w:b/>
          <w:i w:val="0"/>
          <w:color w:val="1F5C9A"/>
          <w:sz w:val="28"/>
        </w:rPr>
        <w:t>5. Experimental Design</w:t>
      </w:r>
    </w:p>
    <w:p>
      <w:pPr>
        <w:pStyle w:val="Heading2"/>
        <w:keepNext/>
        <w:spacing w:before="160" w:after="60"/>
      </w:pPr>
      <w:r>
        <w:rPr>
          <w:rFonts w:ascii="Arial" w:hAnsi="Arial" w:eastAsia="Arial"/>
          <w:b/>
          <w:i w:val="0"/>
          <w:color w:val="2E75B7"/>
          <w:sz w:val="23"/>
        </w:rPr>
        <w:t>5.1 Two directions of updating</w:t>
      </w:r>
    </w:p>
    <w:p>
      <w:pPr>
        <w:keepNext w:val="0"/>
        <w:widowControl/>
        <w:spacing w:before="0" w:after="100" w:line="259" w:lineRule="auto"/>
      </w:pPr>
      <w:r>
        <w:rPr>
          <w:rFonts w:ascii="Arial" w:hAnsi="Arial" w:eastAsia="Arial"/>
          <w:b w:val="0"/>
          <w:i w:val="0"/>
          <w:color w:val="000000"/>
          <w:sz w:val="20"/>
        </w:rPr>
        <w:t>The experiment will begin from the model’s first answer and then present a matched follow-up. Results will be separated by the direction and quality of the change rather than combining every switch into one number.</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2448"/>
        <w:gridCol w:w="2448"/>
        <w:gridCol w:w="2448"/>
        <w:gridCol w:w="2448"/>
      </w:tblGrid>
      <w:tr>
        <w:trPr>
          <w:tblHeader w:val="true"/>
        </w:trPr>
        <w:tc>
          <w:tcPr>
            <w:tcW w:type="dxa" w:w="1800"/>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Track</w:t>
            </w:r>
          </w:p>
        </w:tc>
        <w:tc>
          <w:tcPr>
            <w:tcW w:type="dxa" w:w="2376"/>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Starting point</w:t>
            </w:r>
          </w:p>
        </w:tc>
        <w:tc>
          <w:tcPr>
            <w:tcW w:type="dxa" w:w="3168"/>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Follow-up</w:t>
            </w:r>
          </w:p>
        </w:tc>
        <w:tc>
          <w:tcPr>
            <w:tcW w:type="dxa" w:w="2448"/>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Desired interpretation</w:t>
            </w:r>
          </w:p>
        </w:tc>
      </w:tr>
      <w:tr>
        <w:trPr>
          <w:cantSplit/>
        </w:trPr>
        <w:tc>
          <w:tcPr>
            <w:tcW w:type="dxa" w:w="1800"/>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Harmful updating</w:t>
            </w:r>
          </w:p>
        </w:tc>
        <w:tc>
          <w:tcPr>
            <w:tcW w:type="dxa" w:w="2376"/>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Initial answer is correct</w:t>
            </w:r>
          </w:p>
        </w:tc>
        <w:tc>
          <w:tcPr>
            <w:tcW w:type="dxa" w:w="316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User supports a known incorrect answer</w:t>
            </w:r>
          </w:p>
        </w:tc>
        <w:tc>
          <w:tcPr>
            <w:tcW w:type="dxa" w:w="244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Movement to the user’s answer may indicate susceptibility or sycophancy.</w:t>
            </w:r>
          </w:p>
        </w:tc>
      </w:tr>
      <w:tr>
        <w:trPr>
          <w:cantSplit/>
        </w:trPr>
        <w:tc>
          <w:tcPr>
            <w:tcW w:type="dxa" w:w="1800"/>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Appropriate updating</w:t>
            </w:r>
          </w:p>
        </w:tc>
        <w:tc>
          <w:tcPr>
            <w:tcW w:type="dxa" w:w="2376"/>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Initial answer is incorrect</w:t>
            </w:r>
          </w:p>
        </w:tc>
        <w:tc>
          <w:tcPr>
            <w:tcW w:type="dxa" w:w="316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User gives a sound correction supporting the gold answer</w:t>
            </w:r>
          </w:p>
        </w:tc>
        <w:tc>
          <w:tcPr>
            <w:tcW w:type="dxa" w:w="244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Movement to the correct answer is useful correction, not harmful agreement.</w:t>
            </w:r>
          </w:p>
        </w:tc>
      </w:tr>
      <w:tr>
        <w:trPr>
          <w:cantSplit/>
        </w:trPr>
        <w:tc>
          <w:tcPr>
            <w:tcW w:type="dxa" w:w="1800"/>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Validity control</w:t>
            </w:r>
          </w:p>
        </w:tc>
        <w:tc>
          <w:tcPr>
            <w:tcW w:type="dxa" w:w="2376"/>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Gold conclusion may be correct</w:t>
            </w:r>
          </w:p>
        </w:tc>
        <w:tc>
          <w:tcPr>
            <w:tcW w:type="dxa" w:w="316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Supporting reasoning is flawed</w:t>
            </w:r>
          </w:p>
        </w:tc>
        <w:tc>
          <w:tcPr>
            <w:tcW w:type="dxa" w:w="244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Tests whether the model distinguishes a true conclusion from a valid argument.</w:t>
            </w:r>
          </w:p>
        </w:tc>
      </w:tr>
    </w:tbl>
    <w:p>
      <w:pPr>
        <w:spacing w:after="0"/>
      </w:pPr>
    </w:p>
    <w:p>
      <w:pPr>
        <w:keepNext w:val="0"/>
        <w:widowControl/>
        <w:spacing w:before="0" w:after="100" w:line="259" w:lineRule="auto"/>
      </w:pPr>
      <w:r>
        <w:rPr>
          <w:rFonts w:ascii="Arial" w:hAnsi="Arial" w:eastAsia="Arial"/>
          <w:b w:val="0"/>
          <w:i w:val="0"/>
          <w:color w:val="000000"/>
          <w:sz w:val="20"/>
        </w:rPr>
        <w:t>For a known incorrect challenger answer, the core content conditions will be:</w:t>
      </w:r>
    </w:p>
    <w:p>
      <w:pPr>
        <w:keepNext w:val="0"/>
        <w:widowControl/>
        <w:spacing w:before="0" w:after="60" w:line="252" w:lineRule="auto"/>
        <w:ind w:left="403" w:hanging="360"/>
      </w:pPr>
      <w:r>
        <w:rPr>
          <w:rFonts w:ascii="Arial" w:hAnsi="Arial" w:eastAsia="Arial"/>
          <w:b/>
          <w:i w:val="0"/>
          <w:color w:val="1F5C9A"/>
          <w:sz w:val="20"/>
        </w:rPr>
        <w:t xml:space="preserve">1. </w:t>
      </w:r>
      <w:r>
        <w:rPr>
          <w:rFonts w:ascii="Arial" w:hAnsi="Arial" w:eastAsia="Arial"/>
          <w:b w:val="0"/>
          <w:i w:val="0"/>
          <w:color w:val="000000"/>
          <w:sz w:val="20"/>
        </w:rPr>
        <w:t>Relevant but logically flawed reasoning. The premises concern the task, but the conclusion does not follow.</w:t>
      </w:r>
    </w:p>
    <w:p>
      <w:pPr>
        <w:keepNext w:val="0"/>
        <w:widowControl/>
        <w:spacing w:before="0" w:after="60" w:line="252" w:lineRule="auto"/>
        <w:ind w:left="403" w:hanging="360"/>
      </w:pPr>
      <w:r>
        <w:rPr>
          <w:rFonts w:ascii="Arial" w:hAnsi="Arial" w:eastAsia="Arial"/>
          <w:b/>
          <w:i w:val="0"/>
          <w:color w:val="1F5C9A"/>
          <w:sz w:val="20"/>
        </w:rPr>
        <w:t xml:space="preserve">2. </w:t>
      </w:r>
      <w:r>
        <w:rPr>
          <w:rFonts w:ascii="Arial" w:hAnsi="Arial" w:eastAsia="Arial"/>
          <w:b w:val="0"/>
          <w:i w:val="0"/>
          <w:color w:val="000000"/>
          <w:sz w:val="20"/>
        </w:rPr>
        <w:t>Irrelevant information. The text may sound informative but provides no support for the challenger answer.</w:t>
      </w:r>
    </w:p>
    <w:p>
      <w:pPr>
        <w:keepNext w:val="0"/>
        <w:widowControl/>
        <w:spacing w:before="0" w:after="60" w:line="252" w:lineRule="auto"/>
        <w:ind w:left="403" w:hanging="360"/>
      </w:pPr>
      <w:r>
        <w:rPr>
          <w:rFonts w:ascii="Arial" w:hAnsi="Arial" w:eastAsia="Arial"/>
          <w:b/>
          <w:i w:val="0"/>
          <w:color w:val="1F5C9A"/>
          <w:sz w:val="20"/>
        </w:rPr>
        <w:t xml:space="preserve">3. </w:t>
      </w:r>
      <w:r>
        <w:rPr>
          <w:rFonts w:ascii="Arial" w:hAnsi="Arial" w:eastAsia="Arial"/>
          <w:b w:val="0"/>
          <w:i w:val="0"/>
          <w:color w:val="000000"/>
          <w:sz w:val="20"/>
        </w:rPr>
        <w:t>Unsupported suggestion. The user states the incorrect answer without giving a reason.</w:t>
      </w:r>
    </w:p>
    <w:p>
      <w:pPr>
        <w:keepNext w:val="0"/>
        <w:widowControl/>
        <w:spacing w:before="0" w:after="60" w:line="252" w:lineRule="auto"/>
        <w:ind w:left="403" w:hanging="360"/>
      </w:pPr>
      <w:r>
        <w:rPr>
          <w:rFonts w:ascii="Arial" w:hAnsi="Arial" w:eastAsia="Arial"/>
          <w:b/>
          <w:i w:val="0"/>
          <w:color w:val="1F5C9A"/>
          <w:sz w:val="20"/>
        </w:rPr>
        <w:t xml:space="preserve">4. </w:t>
      </w:r>
      <w:r>
        <w:rPr>
          <w:rFonts w:ascii="Arial" w:hAnsi="Arial" w:eastAsia="Arial"/>
          <w:b w:val="0"/>
          <w:i w:val="0"/>
          <w:color w:val="000000"/>
          <w:sz w:val="20"/>
        </w:rPr>
        <w:t>Neutral follow-up. The user asks the model to reconsider but supplies no competing answer; this measures ordinary reconsideration.</w:t>
      </w:r>
    </w:p>
    <w:p>
      <w:pPr>
        <w:keepNext w:val="0"/>
        <w:widowControl/>
        <w:spacing w:before="0" w:after="100" w:line="259" w:lineRule="auto"/>
      </w:pPr>
      <w:r>
        <w:rPr>
          <w:rFonts w:ascii="Arial" w:hAnsi="Arial" w:eastAsia="Arial"/>
          <w:b w:val="0"/>
          <w:i w:val="0"/>
          <w:color w:val="000000"/>
          <w:sz w:val="20"/>
        </w:rPr>
        <w:t>A sound correction supporting the known correct answer will be included as an essential positive control. Under a consistent set of stipulated facts, a logically sound argument cannot establish a false conclusion. Therefore, “strong support for a known false answer” will not be labelled valid. Relevance, logical validity, plausibility, and presentation will be recorded separately.</w:t>
      </w:r>
    </w:p>
    <w:p>
      <w:pPr>
        <w:pStyle w:val="Heading2"/>
        <w:keepNext/>
        <w:spacing w:before="160" w:after="60"/>
      </w:pPr>
      <w:r>
        <w:rPr>
          <w:rFonts w:ascii="Arial" w:hAnsi="Arial" w:eastAsia="Arial"/>
          <w:b/>
          <w:i w:val="0"/>
          <w:color w:val="2E75B7"/>
          <w:sz w:val="23"/>
        </w:rPr>
        <w:t>5.2 Reasoning-presentation conditions</w:t>
      </w:r>
    </w:p>
    <w:p>
      <w:pPr>
        <w:keepNext w:val="0"/>
        <w:widowControl/>
        <w:spacing w:before="0" w:after="100" w:line="259" w:lineRule="auto"/>
      </w:pPr>
      <w:r>
        <w:rPr>
          <w:rFonts w:ascii="Arial" w:hAnsi="Arial" w:eastAsia="Arial"/>
          <w:b w:val="0"/>
          <w:i w:val="0"/>
          <w:color w:val="000000"/>
          <w:sz w:val="20"/>
        </w:rPr>
        <w:t>Each argument will keep the same premises and conclusion while its organisation is changed. This preserves reasoning quality and isolates presentation as far as natural language allows.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264"/>
        <w:gridCol w:w="3264"/>
        <w:gridCol w:w="3264"/>
      </w:tblGrid>
      <w:tr>
        <w:trPr>
          <w:tblHeader w:val="true"/>
        </w:trPr>
        <w:tc>
          <w:tcPr>
            <w:tcW w:type="dxa" w:w="2088"/>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7"/>
              </w:rPr>
              <w:t>Presentation condition</w:t>
            </w:r>
          </w:p>
        </w:tc>
        <w:tc>
          <w:tcPr>
            <w:tcW w:type="dxa" w:w="4536"/>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7"/>
              </w:rPr>
              <w:t>Description</w:t>
            </w:r>
          </w:p>
        </w:tc>
        <w:tc>
          <w:tcPr>
            <w:tcW w:type="dxa" w:w="3168"/>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7"/>
              </w:rPr>
              <w:t>Purpose</w:t>
            </w:r>
          </w:p>
        </w:tc>
      </w:tr>
      <w:tr>
        <w:trPr>
          <w:cantSplit/>
        </w:trPr>
        <w:tc>
          <w:tcPr>
            <w:tcW w:type="dxa" w:w="208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Ordinary prose</w:t>
            </w:r>
          </w:p>
        </w:tc>
        <w:tc>
          <w:tcPr>
            <w:tcW w:type="dxa" w:w="4536"/>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A short, natural paragraph with no labels.</w:t>
            </w:r>
          </w:p>
        </w:tc>
        <w:tc>
          <w:tcPr>
            <w:tcW w:type="dxa" w:w="316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Primary baseline.</w:t>
            </w:r>
          </w:p>
        </w:tc>
      </w:tr>
      <w:tr>
        <w:trPr>
          <w:cantSplit/>
        </w:trPr>
        <w:tc>
          <w:tcPr>
            <w:tcW w:type="dxa" w:w="208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Labelled structure</w:t>
            </w:r>
          </w:p>
        </w:tc>
        <w:tc>
          <w:tcPr>
            <w:tcW w:type="dxa" w:w="4536"/>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The same claims are marked as Premise 1, Premise 2, and Conclusion.</w:t>
            </w:r>
          </w:p>
        </w:tc>
        <w:tc>
          <w:tcPr>
            <w:tcW w:type="dxa" w:w="316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Tests whether visible inferential organisation changes acceptance.</w:t>
            </w:r>
          </w:p>
        </w:tc>
      </w:tr>
      <w:tr>
        <w:trPr>
          <w:cantSplit/>
        </w:trPr>
        <w:tc>
          <w:tcPr>
            <w:tcW w:type="dxa" w:w="208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Numbered steps</w:t>
            </w:r>
          </w:p>
        </w:tc>
        <w:tc>
          <w:tcPr>
            <w:tcW w:type="dxa" w:w="4536"/>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The same claims are placed in a numbered list without changing their logical relation.</w:t>
            </w:r>
          </w:p>
        </w:tc>
        <w:tc>
          <w:tcPr>
            <w:tcW w:type="dxa" w:w="316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Checks whether an effect is only due to formatting or readability.</w:t>
            </w:r>
          </w:p>
        </w:tc>
      </w:tr>
      <w:tr>
        <w:trPr>
          <w:cantSplit/>
        </w:trPr>
        <w:tc>
          <w:tcPr>
            <w:tcW w:type="dxa" w:w="208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Symbolic equivalent</w:t>
            </w:r>
          </w:p>
        </w:tc>
        <w:tc>
          <w:tcPr>
            <w:tcW w:type="dxa" w:w="4536"/>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A smaller subset uses simple symbols alongside a natural-language key.</w:t>
            </w:r>
          </w:p>
        </w:tc>
        <w:tc>
          <w:tcPr>
            <w:tcW w:type="dxa" w:w="316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7"/>
              </w:rPr>
              <w:t>Tests whether the effect extends beyond ordinary wording.</w:t>
            </w:r>
          </w:p>
        </w:tc>
      </w:tr>
    </w:tbl>
    <w:p>
      <w:pPr>
        <w:spacing w:after="0"/>
      </w:pPr>
    </w:p>
    <w:p>
      <w:pPr>
        <w:keepNext w:val="0"/>
        <w:widowControl/>
        <w:spacing w:before="0" w:after="100" w:line="259" w:lineRule="auto"/>
      </w:pPr>
      <w:r>
        <w:rPr>
          <w:rFonts w:ascii="Arial" w:hAnsi="Arial" w:eastAsia="Arial"/>
          <w:b w:val="0"/>
          <w:i w:val="0"/>
          <w:color w:val="000000"/>
          <w:sz w:val="20"/>
        </w:rPr>
        <w:t>Connecting phrases will be crossed with a smaller subset of these conditions after the main contrast is established. The marker inventory will include several families rather than only one or two phrases, and the analysis will report differences across families. Phrases will not be removed merely because their results differ; removal will occur only for a pre-defined validity problem, such as changing the proposition or adding unintended confidence.</w:t>
      </w:r>
    </w:p>
    <w:p>
      <w:pPr>
        <w:pStyle w:val="Heading2"/>
        <w:keepNext/>
        <w:spacing w:before="160" w:after="60"/>
      </w:pPr>
      <w:r>
        <w:rPr>
          <w:rFonts w:ascii="Arial" w:hAnsi="Arial" w:eastAsia="Arial"/>
          <w:b/>
          <w:i w:val="0"/>
          <w:color w:val="2E75B7"/>
          <w:sz w:val="23"/>
        </w:rPr>
        <w:t>5.3 Opening and user-stance conditions</w:t>
      </w:r>
    </w:p>
    <w:p>
      <w:pPr>
        <w:keepNext w:val="0"/>
        <w:widowControl/>
        <w:spacing w:before="0" w:after="100" w:line="259" w:lineRule="auto"/>
      </w:pPr>
      <w:r>
        <w:rPr>
          <w:rFonts w:ascii="Arial" w:hAnsi="Arial" w:eastAsia="Arial"/>
          <w:b w:val="0"/>
          <w:i w:val="0"/>
          <w:color w:val="000000"/>
          <w:sz w:val="20"/>
        </w:rPr>
        <w:t>Opening style will be a separate factor applied across every matched argument condition:</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No opening: the challenger text appears directly. This is the cleanest test of argument content and quality.</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Neutral introduction: a short request to reconsider, without pressure or a personal claim.</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First-person endorsement: the user states that the challenger answer is their own position.</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Quoted or unendorsed claim: on a smaller subset, the same argument is presented as someone else’s claim that the model should evaluate.</w:t>
      </w:r>
    </w:p>
    <w:p>
      <w:pPr>
        <w:keepNext w:val="0"/>
        <w:widowControl/>
        <w:spacing w:before="0" w:after="100" w:line="259" w:lineRule="auto"/>
      </w:pPr>
      <w:r>
        <w:rPr>
          <w:rFonts w:ascii="Arial" w:hAnsi="Arial" w:eastAsia="Arial"/>
          <w:b w:val="0"/>
          <w:i w:val="0"/>
          <w:color w:val="000000"/>
          <w:sz w:val="20"/>
        </w:rPr>
        <w:t>Removing the opening only from the real-reason conditions would create a confound: any difference could come from the missing opening rather than argument quality. For this reason, no-opening, neutral, and first-person versions will be created for all content conditions using the same crossing rule.</w:t>
      </w:r>
    </w:p>
    <w:p>
      <w:pPr>
        <w:keepNext w:val="0"/>
        <w:widowControl/>
        <w:spacing w:before="0" w:after="100" w:line="259" w:lineRule="auto"/>
      </w:pPr>
      <w:r>
        <w:rPr>
          <w:rFonts w:ascii="Arial" w:hAnsi="Arial" w:eastAsia="Arial"/>
          <w:b w:val="0"/>
          <w:i w:val="0"/>
          <w:color w:val="000000"/>
          <w:sz w:val="20"/>
        </w:rPr>
        <w:t>Across matched versions, the target answer, certainty, propositions, answer instructions, conversation history, option order, and answer-label format will be held fixed. A/B label order and semantic option order will be counterbalanced to prevent the Base model’s initial preference for one label from being mistaken for reasoning behaviour.</w:t>
      </w:r>
    </w:p>
    <w:p>
      <w:pPr>
        <w:pStyle w:val="Heading1"/>
        <w:keepNext/>
        <w:spacing w:before="240" w:after="100"/>
      </w:pPr>
      <w:r>
        <w:rPr>
          <w:rFonts w:ascii="Arial" w:hAnsi="Arial" w:eastAsia="Arial"/>
          <w:b/>
          <w:i w:val="0"/>
          <w:color w:val="1F5C9A"/>
          <w:sz w:val="28"/>
        </w:rPr>
        <w:t>6. Outcomes and Statistical Analysis</w:t>
      </w:r>
    </w:p>
    <w:p>
      <w:pPr>
        <w:keepNext w:val="0"/>
        <w:widowControl/>
        <w:spacing w:before="0" w:after="100" w:line="259" w:lineRule="auto"/>
      </w:pPr>
      <w:r>
        <w:rPr>
          <w:rFonts w:ascii="Arial" w:hAnsi="Arial" w:eastAsia="Arial"/>
          <w:b w:val="0"/>
          <w:i w:val="0"/>
          <w:color w:val="000000"/>
          <w:sz w:val="20"/>
        </w:rPr>
        <w:t>The main analysis will report both discrete answers and continuous preference. The primary outcomes are:</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i w:val="0"/>
          <w:color w:val="000000"/>
          <w:sz w:val="20"/>
        </w:rPr>
        <w:t>Gold-answer accuracy</w:t>
      </w:r>
      <w:r>
        <w:rPr>
          <w:rFonts w:ascii="Arial" w:hAnsi="Arial" w:eastAsia="Arial"/>
          <w:b w:val="0"/>
          <w:i w:val="0"/>
          <w:color w:val="000000"/>
          <w:sz w:val="20"/>
        </w:rPr>
        <w:t xml:space="preserve"> after the follow-up.</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i w:val="0"/>
          <w:color w:val="000000"/>
          <w:sz w:val="20"/>
        </w:rPr>
        <w:t>The probability or logit margin</w:t>
      </w:r>
      <w:r>
        <w:rPr>
          <w:rFonts w:ascii="Arial" w:hAnsi="Arial" w:eastAsia="Arial"/>
          <w:b w:val="0"/>
          <w:i w:val="0"/>
          <w:color w:val="000000"/>
          <w:sz w:val="20"/>
        </w:rPr>
        <w:t xml:space="preserve"> between the gold answer and the challenger answer.</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i w:val="0"/>
          <w:color w:val="000000"/>
          <w:sz w:val="20"/>
        </w:rPr>
        <w:t>Movement in that margin</w:t>
      </w:r>
      <w:r>
        <w:rPr>
          <w:rFonts w:ascii="Arial" w:hAnsi="Arial" w:eastAsia="Arial"/>
          <w:b w:val="0"/>
          <w:i w:val="0"/>
          <w:color w:val="000000"/>
          <w:sz w:val="20"/>
        </w:rPr>
        <w:t xml:space="preserve"> from the initial answer to the follow-up.</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i w:val="0"/>
          <w:color w:val="000000"/>
          <w:sz w:val="20"/>
        </w:rPr>
        <w:t>A separate judgment</w:t>
      </w:r>
      <w:r>
        <w:rPr>
          <w:rFonts w:ascii="Arial" w:hAnsi="Arial" w:eastAsia="Arial"/>
          <w:b w:val="0"/>
          <w:i w:val="0"/>
          <w:color w:val="000000"/>
          <w:sz w:val="20"/>
        </w:rPr>
        <w:t xml:space="preserve"> of whether the challenger’s reasoning is logically valid.</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i w:val="0"/>
          <w:color w:val="000000"/>
          <w:sz w:val="20"/>
        </w:rPr>
        <w:t>Final-answer categories:</w:t>
      </w:r>
      <w:r>
        <w:rPr>
          <w:rFonts w:ascii="Arial" w:hAnsi="Arial" w:eastAsia="Arial"/>
          <w:b w:val="0"/>
          <w:i w:val="0"/>
          <w:color w:val="000000"/>
          <w:sz w:val="20"/>
        </w:rPr>
        <w:t xml:space="preserve"> correct to incorrect, incorrect to correct, no change, and other change.</w:t>
      </w:r>
    </w:p>
    <w:p>
      <w:pPr>
        <w:keepNext w:val="0"/>
        <w:widowControl/>
        <w:spacing w:before="0" w:after="100" w:line="259" w:lineRule="auto"/>
      </w:pPr>
      <w:r>
        <w:rPr>
          <w:rFonts w:ascii="Arial" w:hAnsi="Arial" w:eastAsia="Arial"/>
          <w:b w:val="0"/>
          <w:i w:val="0"/>
          <w:color w:val="000000"/>
          <w:sz w:val="20"/>
        </w:rPr>
        <w:t>The logit margin is a continuous measure of relative preference, not a proof of what the model privately believes. For example, a positive gold-minus-challenger margin means the model assigns more next-token support to the gold answer at the scoring position; a larger positive change means the follow-up strengthened that preference. The exact sign will be defined once and used consistently in the code and report.</w:t>
      </w:r>
    </w:p>
    <w:p>
      <w:pPr>
        <w:keepNext w:val="0"/>
        <w:widowControl/>
        <w:spacing w:before="0" w:after="100" w:line="259" w:lineRule="auto"/>
      </w:pPr>
      <w:r>
        <w:rPr>
          <w:rFonts w:ascii="Arial" w:hAnsi="Arial" w:eastAsia="Arial"/>
          <w:b w:val="0"/>
          <w:i w:val="0"/>
          <w:color w:val="000000"/>
          <w:sz w:val="20"/>
        </w:rPr>
        <w:t>The main contrasts will estimate the effect of argument quality, reasoning presentation, and user framing, including their interactions. Uncertainty will be measured with a pre-specified cluster bootstrap over the underlying base problem, keeping all versions of one problem together in every resample. Confidence intervals, sample counts, and effect sizes will be reported; results will not be selected only by a significance threshold.</w:t>
      </w:r>
    </w:p>
    <w:p>
      <w:pPr>
        <w:keepNext w:val="0"/>
        <w:widowControl/>
        <w:spacing w:before="0" w:after="100" w:line="259" w:lineRule="auto"/>
      </w:pPr>
      <w:r>
        <w:rPr>
          <w:rFonts w:ascii="Arial" w:hAnsi="Arial" w:eastAsia="Arial"/>
          <w:b w:val="0"/>
          <w:i w:val="0"/>
          <w:color w:val="000000"/>
          <w:sz w:val="20"/>
        </w:rPr>
        <w:t>The initial feasibility study will use about 100 matched problems on one manageable open-weight model. It will first check that the task is neither trivially easy nor fully saturated. A second model will be added only after the prompts, response labels, and manipulations are stable. The current Base-model A preference makes a response-label and prompt-format robustness check mandatory before interpreting model differences.</w:t>
      </w:r>
    </w:p>
    <w:p>
      <w:pPr>
        <w:pStyle w:val="Heading1"/>
        <w:keepNext/>
        <w:spacing w:before="240" w:after="100"/>
      </w:pPr>
      <w:r>
        <w:rPr>
          <w:rFonts w:ascii="Arial" w:hAnsi="Arial" w:eastAsia="Arial"/>
          <w:b/>
          <w:i w:val="0"/>
          <w:color w:val="1F5C9A"/>
          <w:sz w:val="28"/>
        </w:rPr>
        <w:t>7. Manipulation Checks and Quality Control</w:t>
      </w:r>
    </w:p>
    <w:p>
      <w:pPr>
        <w:keepNext w:val="0"/>
        <w:widowControl/>
        <w:spacing w:before="0" w:after="100" w:line="259" w:lineRule="auto"/>
      </w:pPr>
      <w:r>
        <w:rPr>
          <w:rFonts w:ascii="Arial" w:hAnsi="Arial" w:eastAsia="Arial"/>
          <w:b w:val="0"/>
          <w:i w:val="0"/>
          <w:color w:val="000000"/>
          <w:sz w:val="20"/>
        </w:rPr>
        <w:t>Before the full run, each adapted item will be checked for the following:</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Gold preservation: the original dataset answer and rule chain remain unchanged.</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Quality label: the argument is independently judged as sound, flawed but relevant, irrelevant, or unsupported.</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Proposition preservation: presentation variants express the same facts, premises, and conclusion.</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Framing isolation: the opening changes user stance without adding evidence, authority, pressure, or certainty.</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Self-containment: the problem can be answered from the supplied context and requires no browsing.</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Answer-format balance: A/B and option-order versions are semantically identical and equally parseable.</w:t>
      </w:r>
    </w:p>
    <w:p>
      <w:pPr>
        <w:keepNext w:val="0"/>
        <w:widowControl/>
        <w:spacing w:before="0" w:after="100" w:line="259" w:lineRule="auto"/>
      </w:pPr>
      <w:r>
        <w:rPr>
          <w:rFonts w:ascii="Arial" w:hAnsi="Arial" w:eastAsia="Arial"/>
          <w:b w:val="0"/>
          <w:i w:val="0"/>
          <w:color w:val="000000"/>
          <w:sz w:val="20"/>
        </w:rPr>
        <w:t>A blinded human review of a stratified subset will measure whether readers perceive the intended differences in validity, relevance, structure, pressure, and endorsement. Failed items will be revised according to rules written before the full outcome analysis. Heterogeneity across markers and openings will remain visible in the report instead of being hidden by post-hoc deletion.</w:t>
      </w:r>
    </w:p>
    <w:p>
      <w:pPr>
        <w:pStyle w:val="Heading1"/>
        <w:keepNext/>
        <w:spacing w:before="240" w:after="100"/>
      </w:pPr>
      <w:r>
        <w:rPr>
          <w:rFonts w:ascii="Arial" w:hAnsi="Arial" w:eastAsia="Arial"/>
          <w:b/>
          <w:i w:val="0"/>
          <w:color w:val="1F5C9A"/>
          <w:sz w:val="28"/>
        </w:rPr>
        <w:t>8. Mechanistic Analysis</w:t>
      </w:r>
    </w:p>
    <w:p>
      <w:pPr>
        <w:keepNext w:val="0"/>
        <w:widowControl/>
        <w:spacing w:before="0" w:after="100" w:line="259" w:lineRule="auto"/>
      </w:pPr>
      <w:r>
        <w:rPr>
          <w:rFonts w:ascii="Arial" w:hAnsi="Arial" w:eastAsia="Arial"/>
          <w:b w:val="0"/>
          <w:i w:val="0"/>
          <w:color w:val="000000"/>
          <w:sz w:val="20"/>
        </w:rPr>
        <w:t>Mechanistic work will begin only after a reproducible behavioural contrast has been found. The first target is not a general “belief neuron,” but the narrower question of where matched changes in argument quality, presentation, or user stance alter the correct-versus-challenger preference.</w:t>
      </w:r>
    </w:p>
    <w:p>
      <w:pPr>
        <w:keepNext w:val="0"/>
        <w:widowControl/>
        <w:spacing w:before="0" w:after="60" w:line="252" w:lineRule="auto"/>
        <w:ind w:left="403" w:hanging="360"/>
      </w:pPr>
      <w:r>
        <w:rPr>
          <w:rFonts w:ascii="Arial" w:hAnsi="Arial" w:eastAsia="Arial"/>
          <w:b/>
          <w:i w:val="0"/>
          <w:color w:val="1F5C9A"/>
          <w:sz w:val="20"/>
        </w:rPr>
        <w:t xml:space="preserve">1. </w:t>
      </w:r>
      <w:r>
        <w:rPr>
          <w:rFonts w:ascii="Arial" w:hAnsi="Arial" w:eastAsia="Arial"/>
          <w:b/>
          <w:i w:val="0"/>
          <w:color w:val="000000"/>
          <w:sz w:val="20"/>
        </w:rPr>
        <w:t>Logit-lens analysis.</w:t>
      </w:r>
      <w:r>
        <w:rPr>
          <w:rFonts w:ascii="Arial" w:hAnsi="Arial" w:eastAsia="Arial"/>
          <w:b w:val="0"/>
          <w:i w:val="0"/>
          <w:color w:val="000000"/>
          <w:sz w:val="20"/>
        </w:rPr>
        <w:t xml:space="preserve"> Read the correct-versus-challenger margin across model layers. This is exploratory evidence about where answer-relevant information becomes readable; it does not prove that the model knows the answer.</w:t>
      </w:r>
    </w:p>
    <w:p>
      <w:pPr>
        <w:keepNext w:val="0"/>
        <w:widowControl/>
        <w:spacing w:before="0" w:after="60" w:line="252" w:lineRule="auto"/>
        <w:ind w:left="403" w:hanging="360"/>
      </w:pPr>
      <w:r>
        <w:rPr>
          <w:rFonts w:ascii="Arial" w:hAnsi="Arial" w:eastAsia="Arial"/>
          <w:b/>
          <w:i w:val="0"/>
          <w:color w:val="1F5C9A"/>
          <w:sz w:val="20"/>
        </w:rPr>
        <w:t xml:space="preserve">2. </w:t>
      </w:r>
      <w:r>
        <w:rPr>
          <w:rFonts w:ascii="Arial" w:hAnsi="Arial" w:eastAsia="Arial"/>
          <w:b/>
          <w:i w:val="0"/>
          <w:color w:val="000000"/>
          <w:sz w:val="20"/>
        </w:rPr>
        <w:t>Controlled probes.</w:t>
      </w:r>
      <w:r>
        <w:rPr>
          <w:rFonts w:ascii="Arial" w:hAnsi="Arial" w:eastAsia="Arial"/>
          <w:b w:val="0"/>
          <w:i w:val="0"/>
          <w:color w:val="000000"/>
          <w:sz w:val="20"/>
        </w:rPr>
        <w:t xml:space="preserve"> On held-out problems, test whether argument validity, presentation condition, and user endorsement are linearly decodable. Group all versions of one base problem in the same data split and include shuffled-label and text-only controls.</w:t>
      </w:r>
    </w:p>
    <w:p>
      <w:pPr>
        <w:keepNext w:val="0"/>
        <w:widowControl/>
        <w:spacing w:before="0" w:after="60" w:line="252" w:lineRule="auto"/>
        <w:ind w:left="403" w:hanging="360"/>
      </w:pPr>
      <w:r>
        <w:rPr>
          <w:rFonts w:ascii="Arial" w:hAnsi="Arial" w:eastAsia="Arial"/>
          <w:b/>
          <w:i w:val="0"/>
          <w:color w:val="1F5C9A"/>
          <w:sz w:val="20"/>
        </w:rPr>
        <w:t xml:space="preserve">3. </w:t>
      </w:r>
      <w:r>
        <w:rPr>
          <w:rFonts w:ascii="Arial" w:hAnsi="Arial" w:eastAsia="Arial"/>
          <w:b/>
          <w:i w:val="0"/>
          <w:color w:val="000000"/>
          <w:sz w:val="20"/>
        </w:rPr>
        <w:t>Activation patching.</w:t>
      </w:r>
      <w:r>
        <w:rPr>
          <w:rFonts w:ascii="Arial" w:hAnsi="Arial" w:eastAsia="Arial"/>
          <w:b w:val="0"/>
          <w:i w:val="0"/>
          <w:color w:val="000000"/>
          <w:sz w:val="20"/>
        </w:rPr>
        <w:t xml:space="preserve"> Transfer activations between matched runs that differ in only one factor. Test argument-processing positions separately from response-generation positions, and measure whether patching restores gold-answer accuracy.</w:t>
      </w:r>
    </w:p>
    <w:p>
      <w:pPr>
        <w:keepNext w:val="0"/>
        <w:widowControl/>
        <w:spacing w:before="0" w:after="60" w:line="252" w:lineRule="auto"/>
        <w:ind w:left="403" w:hanging="360"/>
      </w:pPr>
      <w:r>
        <w:rPr>
          <w:rFonts w:ascii="Arial" w:hAnsi="Arial" w:eastAsia="Arial"/>
          <w:b/>
          <w:i w:val="0"/>
          <w:color w:val="1F5C9A"/>
          <w:sz w:val="20"/>
        </w:rPr>
        <w:t xml:space="preserve">4. </w:t>
      </w:r>
      <w:r>
        <w:rPr>
          <w:rFonts w:ascii="Arial" w:hAnsi="Arial" w:eastAsia="Arial"/>
          <w:b/>
          <w:i w:val="0"/>
          <w:color w:val="000000"/>
          <w:sz w:val="20"/>
        </w:rPr>
        <w:t>Specificity controls.</w:t>
      </w:r>
      <w:r>
        <w:rPr>
          <w:rFonts w:ascii="Arial" w:hAnsi="Arial" w:eastAsia="Arial"/>
          <w:b w:val="0"/>
          <w:i w:val="0"/>
          <w:color w:val="000000"/>
          <w:sz w:val="20"/>
        </w:rPr>
        <w:t xml:space="preserve"> Compare with random layers, random tokens, and unrelated matched pairs. Confirm that any intervention does not make the model reject sound corrections or damage ordinary reasoning on held-out items.</w:t>
      </w:r>
    </w:p>
    <w:p>
      <w:pPr>
        <w:keepNext w:val="0"/>
        <w:widowControl/>
        <w:spacing w:before="0" w:after="100" w:line="259" w:lineRule="auto"/>
      </w:pPr>
      <w:r>
        <w:rPr>
          <w:rFonts w:ascii="Arial" w:hAnsi="Arial" w:eastAsia="Arial"/>
          <w:b w:val="0"/>
          <w:i w:val="0"/>
          <w:color w:val="000000"/>
          <w:sz w:val="20"/>
        </w:rPr>
        <w:t>Sparse autoencoders may be added later if the layer-level results identify a stable target and time permits. They are not the first step. Similarly, using released mechanistic code is useful infrastructure but is not counted as the originality of the project.</w:t>
      </w:r>
    </w:p>
    <w:p>
      <w:pPr>
        <w:pStyle w:val="Heading1"/>
        <w:keepNext/>
        <w:spacing w:before="240" w:after="100"/>
      </w:pPr>
      <w:r>
        <w:rPr>
          <w:rFonts w:ascii="Arial" w:hAnsi="Arial" w:eastAsia="Arial"/>
          <w:b/>
          <w:i w:val="0"/>
          <w:color w:val="1F5C9A"/>
          <w:sz w:val="28"/>
        </w:rPr>
        <w:t>9. Expected Contribution and Scope</w:t>
      </w:r>
    </w:p>
    <w:p>
      <w:pPr>
        <w:keepNext w:val="0"/>
        <w:widowControl/>
        <w:spacing w:before="0" w:after="100" w:line="259" w:lineRule="auto"/>
      </w:pPr>
      <w:r>
        <w:rPr>
          <w:rFonts w:ascii="Arial" w:hAnsi="Arial" w:eastAsia="Arial"/>
          <w:b w:val="0"/>
          <w:i w:val="0"/>
          <w:color w:val="000000"/>
          <w:sz w:val="20"/>
        </w:rPr>
        <w:t>The project aims to contribute a controlled account of when language models follow reasoning and when they follow the user. Its strongest possible result would be to show that a model can distinguish sound from flawed reasoning but that certain forms of organisation or endorsement still push the final answer toward an incorrect user claim, and then identify an intervention that reduces this failure without making the model stubborn.</w:t>
      </w:r>
    </w:p>
    <w:p>
      <w:pPr>
        <w:keepNext w:val="0"/>
        <w:widowControl/>
        <w:spacing w:before="0" w:after="100" w:line="259" w:lineRule="auto"/>
      </w:pPr>
      <w:r>
        <w:rPr>
          <w:rFonts w:ascii="Arial" w:hAnsi="Arial" w:eastAsia="Arial"/>
          <w:b w:val="0"/>
          <w:i w:val="0"/>
          <w:color w:val="000000"/>
          <w:sz w:val="20"/>
        </w:rPr>
        <w:t>A useful null result is also possible. If structure has no effect after content and framing are controlled, the study can show that earlier wording effects were mainly driven by argument content, openings, or response labels. Claims will match the evidence: the thesis will not describe a representation as “knowledge” unless causal tests and controls justify that interpretation.</w:t>
      </w:r>
    </w:p>
    <w:p>
      <w:pPr>
        <w:pStyle w:val="Heading1"/>
        <w:keepNext/>
        <w:spacing w:before="240" w:after="100"/>
      </w:pPr>
      <w:r>
        <w:rPr>
          <w:rFonts w:ascii="Arial" w:hAnsi="Arial" w:eastAsia="Arial"/>
          <w:b/>
          <w:i w:val="0"/>
          <w:color w:val="1F5C9A"/>
          <w:sz w:val="28"/>
        </w:rPr>
        <w:t>10. Work Plan and Decision Gates</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3264"/>
        <w:gridCol w:w="3264"/>
        <w:gridCol w:w="3264"/>
      </w:tblGrid>
      <w:tr>
        <w:trPr>
          <w:tblHeader w:val="true"/>
        </w:trPr>
        <w:tc>
          <w:tcPr>
            <w:tcW w:type="dxa" w:w="1843"/>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Phase</w:t>
            </w:r>
          </w:p>
        </w:tc>
        <w:tc>
          <w:tcPr>
            <w:tcW w:type="dxa" w:w="4680"/>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Main work</w:t>
            </w:r>
          </w:p>
        </w:tc>
        <w:tc>
          <w:tcPr>
            <w:tcW w:type="dxa" w:w="3268"/>
            <w:shd w:fill="1F5C9A"/>
            <w:vAlign w:val="center"/>
            <w:tcMar>
              <w:top w:w="70" w:type="dxa"/>
              <w:start w:w="90" w:type="dxa"/>
              <w:bottom w:w="70" w:type="dxa"/>
              <w:end w:w="90" w:type="dxa"/>
            </w:tcMar>
          </w:tcPr>
          <w:p>
            <w:pPr>
              <w:keepNext w:val="0"/>
              <w:widowControl/>
              <w:spacing w:before="0" w:after="0" w:line="240" w:lineRule="auto"/>
              <w:jc w:val="left"/>
            </w:pPr>
            <w:r>
              <w:rPr>
                <w:rFonts w:ascii="Arial" w:hAnsi="Arial" w:eastAsia="Arial"/>
                <w:b/>
                <w:i w:val="0"/>
                <w:color w:val="FFFFFF"/>
                <w:sz w:val="16"/>
              </w:rPr>
              <w:t>Decision gate</w:t>
            </w:r>
          </w:p>
        </w:tc>
      </w:tr>
      <w:tr>
        <w:trPr>
          <w:cantSplit/>
        </w:trPr>
        <w:tc>
          <w:tcPr>
            <w:tcW w:type="dxa" w:w="1843"/>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1. Literature and dataset audit</w:t>
            </w:r>
          </w:p>
        </w:tc>
        <w:tc>
          <w:tcPr>
            <w:tcW w:type="dxa" w:w="4680"/>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Confirm novelty; inspect PrOntoQA and ProofWriter schemas; define gold-preserving adaptations.</w:t>
            </w:r>
          </w:p>
        </w:tc>
        <w:tc>
          <w:tcPr>
            <w:tcW w:type="dxa" w:w="326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Proceed only when the task can cleanly label answer correctness and argument validity.</w:t>
            </w:r>
          </w:p>
        </w:tc>
      </w:tr>
      <w:tr>
        <w:trPr>
          <w:cantSplit/>
        </w:trPr>
        <w:tc>
          <w:tcPr>
            <w:tcW w:type="dxa" w:w="1843"/>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2. Item construction and validation</w:t>
            </w:r>
          </w:p>
        </w:tc>
        <w:tc>
          <w:tcPr>
            <w:tcW w:type="dxa" w:w="4680"/>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Create about 100 matched problems; balance labels; run automatic and human manipulation checks.</w:t>
            </w:r>
          </w:p>
        </w:tc>
        <w:tc>
          <w:tcPr>
            <w:tcW w:type="dxa" w:w="326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Freeze templates only after proposition preservation and framing isolation pass.</w:t>
            </w:r>
          </w:p>
        </w:tc>
      </w:tr>
      <w:tr>
        <w:trPr>
          <w:cantSplit/>
        </w:trPr>
        <w:tc>
          <w:tcPr>
            <w:tcW w:type="dxa" w:w="1843"/>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3. Behavioural pilot</w:t>
            </w:r>
          </w:p>
        </w:tc>
        <w:tc>
          <w:tcPr>
            <w:tcW w:type="dxa" w:w="4680"/>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Run one open model; measure accuracy, logit movement, and directional switches.</w:t>
            </w:r>
          </w:p>
        </w:tc>
        <w:tc>
          <w:tcPr>
            <w:tcW w:type="dxa" w:w="326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Revise response format if initial bias or ceiling effects prevent interpretation.</w:t>
            </w:r>
          </w:p>
        </w:tc>
      </w:tr>
      <w:tr>
        <w:trPr>
          <w:cantSplit/>
        </w:trPr>
        <w:tc>
          <w:tcPr>
            <w:tcW w:type="dxa" w:w="1843"/>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4. Confirmatory behaviour</w:t>
            </w:r>
          </w:p>
        </w:tc>
        <w:tc>
          <w:tcPr>
            <w:tcW w:type="dxa" w:w="4680"/>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Run the frozen design; bootstrap by base problem; report planned contrasts and heterogeneity.</w:t>
            </w:r>
          </w:p>
        </w:tc>
        <w:tc>
          <w:tcPr>
            <w:tcW w:type="dxa" w:w="326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Begin mechanisms only for a stable, unsaturated contrast.</w:t>
            </w:r>
          </w:p>
        </w:tc>
      </w:tr>
      <w:tr>
        <w:trPr>
          <w:cantSplit/>
        </w:trPr>
        <w:tc>
          <w:tcPr>
            <w:tcW w:type="dxa" w:w="1843"/>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5. Mechanistic study</w:t>
            </w:r>
          </w:p>
        </w:tc>
        <w:tc>
          <w:tcPr>
            <w:tcW w:type="dxa" w:w="4680"/>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Logit lens, controlled probes, and activation patching with specificity controls.</w:t>
            </w:r>
          </w:p>
        </w:tc>
        <w:tc>
          <w:tcPr>
            <w:tcW w:type="dxa" w:w="3268"/>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Retain only effects that reproduce on held-out problems and preserve valid correction.</w:t>
            </w:r>
          </w:p>
        </w:tc>
      </w:tr>
      <w:tr>
        <w:trPr>
          <w:cantSplit/>
        </w:trPr>
        <w:tc>
          <w:tcPr>
            <w:tcW w:type="dxa" w:w="1843"/>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6. Replication and writing</w:t>
            </w:r>
          </w:p>
        </w:tc>
        <w:tc>
          <w:tcPr>
            <w:tcW w:type="dxa" w:w="4680"/>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Replicate on a second model or ProofWriter if feasible; write thesis and conference paper.</w:t>
            </w:r>
          </w:p>
        </w:tc>
        <w:tc>
          <w:tcPr>
            <w:tcW w:type="dxa" w:w="3268"/>
            <w:shd w:fill="F6F9FC"/>
            <w:vAlign w:val="top"/>
            <w:tcMar>
              <w:top w:w="70" w:type="dxa"/>
              <w:start w:w="90" w:type="dxa"/>
              <w:bottom w:w="70" w:type="dxa"/>
              <w:end w:w="90" w:type="dxa"/>
            </w:tcMar>
          </w:tcPr>
          <w:p>
            <w:pPr>
              <w:keepNext w:val="0"/>
              <w:widowControl/>
              <w:spacing w:before="0" w:after="0" w:line="247" w:lineRule="auto"/>
            </w:pPr>
            <w:r>
              <w:rPr>
                <w:rFonts w:ascii="Arial" w:hAnsi="Arial" w:eastAsia="Arial"/>
                <w:b w:val="0"/>
                <w:i w:val="0"/>
                <w:color w:val="000000"/>
                <w:sz w:val="16"/>
              </w:rPr>
              <w:t>State the final scope and limitations before submission.</w:t>
            </w:r>
          </w:p>
        </w:tc>
      </w:tr>
    </w:tbl>
    <w:p>
      <w:pPr>
        <w:spacing w:after="0"/>
      </w:pPr>
    </w:p>
    <w:p>
      <w:pPr>
        <w:pStyle w:val="Heading1"/>
        <w:keepNext/>
        <w:spacing w:before="240" w:after="100"/>
      </w:pPr>
      <w:r>
        <w:rPr>
          <w:rFonts w:ascii="Arial" w:hAnsi="Arial" w:eastAsia="Arial"/>
          <w:b/>
          <w:i w:val="0"/>
          <w:color w:val="1F5C9A"/>
          <w:sz w:val="28"/>
        </w:rPr>
        <w:t>11. Methodological Corrections Made in This Revision</w:t>
      </w:r>
    </w:p>
    <w:p>
      <w:pPr>
        <w:keepNext w:val="0"/>
        <w:widowControl/>
        <w:spacing w:before="0" w:after="100" w:line="259" w:lineRule="auto"/>
      </w:pPr>
      <w:r>
        <w:rPr>
          <w:rFonts w:ascii="Arial" w:hAnsi="Arial" w:eastAsia="Arial"/>
          <w:b w:val="0"/>
          <w:i w:val="0"/>
          <w:color w:val="000000"/>
          <w:sz w:val="20"/>
        </w:rPr>
        <w:t>The earlier work was a useful pilot, but the following parts needed correction before it could support a strong thesis claim:</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Connecting words alone were too small a manipulation for the main originality. They are now secondary to argument quality, organisation, and user stance.</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A custom dataset without known answers could not cleanly separate harmful agreement from reasonable updating. The new primary data have gold labels and derivation structure.</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Removing openings only from RS and RP would mix opening style with reason presence. Openings are now crossed across all matched content conditions.</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A convincing explanation for a false answer is not automatically a valid argument. Relevance, plausibility, and logical validity are now separate labels.</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Flip rate alone was too coarse and sometimes saturated. Accuracy, answer-direction categories, validity judgments, and logit movement will be analysed together.</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Mechanistic tools were previously too close to the starting point. They are now gated by a clear and reproducible behavioural effect.</w:t>
      </w:r>
    </w:p>
    <w:p>
      <w:pPr>
        <w:keepNext w:val="0"/>
        <w:widowControl/>
        <w:spacing w:before="0" w:after="100" w:line="259" w:lineRule="auto"/>
      </w:pPr>
      <w:r>
        <w:rPr>
          <w:rFonts w:ascii="Arial" w:hAnsi="Arial" w:eastAsia="Arial"/>
          <w:b w:val="0"/>
          <w:i w:val="0"/>
          <w:color w:val="000000"/>
          <w:sz w:val="20"/>
        </w:rPr>
        <w:t>These are design improvements rather than reasons to discard the completed work. The pilot established the technical pipeline, exposed important prompt sensitivities, and provided the evidence needed to make the revised plan more rigorous.</w:t>
      </w:r>
    </w:p>
    <w:p>
      <w:pPr>
        <w:pStyle w:val="Heading1"/>
        <w:keepNext/>
        <w:spacing w:before="240" w:after="100"/>
      </w:pPr>
      <w:r>
        <w:rPr>
          <w:rFonts w:ascii="Arial" w:hAnsi="Arial" w:eastAsia="Arial"/>
          <w:b/>
          <w:i w:val="0"/>
          <w:color w:val="1F5C9A"/>
          <w:sz w:val="28"/>
        </w:rPr>
        <w:t>12. Planned Deliverables</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A documented adaptation of a published reasoning dataset with provenance and gold-label checks.</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A deterministic behavioural pipeline with frozen prompts, exact scoring rules, and response-format robustness tests.</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Machine-readable tables of accuracy, validity judgments, directional answer changes, logit margins, and planned contrasts.</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A cluster-bootstrap analysis with saved settings, confidence intervals, figures, and an input/output hash manifest.</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A focused mechanistic analysis for validated contrasts, including appropriate causal and held-out controls.</w:t>
      </w:r>
    </w:p>
    <w:p>
      <w:pPr>
        <w:keepNext w:val="0"/>
        <w:widowControl/>
        <w:spacing w:before="0" w:after="50" w:line="252" w:lineRule="auto"/>
        <w:ind w:left="317" w:hanging="216"/>
      </w:pPr>
      <w:r>
        <w:rPr>
          <w:rFonts w:ascii="Arial" w:hAnsi="Arial" w:eastAsia="Arial"/>
          <w:b/>
          <w:i w:val="0"/>
          <w:color w:val="2E75B7"/>
          <w:sz w:val="20"/>
        </w:rPr>
        <w:t xml:space="preserve">• </w:t>
      </w:r>
      <w:r>
        <w:rPr>
          <w:rFonts w:ascii="Arial" w:hAnsi="Arial" w:eastAsia="Arial"/>
          <w:b w:val="0"/>
          <w:i w:val="0"/>
          <w:color w:val="000000"/>
          <w:sz w:val="20"/>
        </w:rPr>
        <w:t>A thesis report and, if the contribution is supported, a conference submission with released code and data transformations.</w:t>
      </w:r>
    </w:p>
    <w:p>
      <w:pPr>
        <w:pStyle w:val="Heading1"/>
        <w:keepNext/>
        <w:spacing w:before="240" w:after="100"/>
      </w:pPr>
      <w:r>
        <w:rPr>
          <w:rFonts w:ascii="Arial" w:hAnsi="Arial" w:eastAsia="Arial"/>
          <w:b/>
          <w:i w:val="0"/>
          <w:color w:val="1F5C9A"/>
          <w:sz w:val="28"/>
        </w:rPr>
        <w:t>13. References</w:t>
      </w:r>
    </w:p>
    <w:p>
      <w:pPr>
        <w:keepNext w:val="0"/>
        <w:widowControl/>
        <w:spacing w:before="0" w:after="60" w:line="247" w:lineRule="auto"/>
        <w:ind w:left="346" w:hanging="346"/>
      </w:pPr>
      <w:r>
        <w:rPr>
          <w:rFonts w:ascii="Arial" w:hAnsi="Arial" w:eastAsia="Arial"/>
          <w:b w:val="0"/>
          <w:i w:val="0"/>
          <w:color w:val="444444"/>
          <w:sz w:val="17"/>
        </w:rPr>
        <w:t>Saparov, A., &amp; He, H. (2023). Language models are greedy reasoners: A systematic formal analysis of chain-of-thought. International Conference on Learning Representations. https://github.com/asaparov/prontoqa</w:t>
      </w:r>
    </w:p>
    <w:p>
      <w:pPr>
        <w:keepNext w:val="0"/>
        <w:widowControl/>
        <w:spacing w:before="0" w:after="60" w:line="247" w:lineRule="auto"/>
        <w:ind w:left="346" w:hanging="346"/>
      </w:pPr>
      <w:r>
        <w:rPr>
          <w:rFonts w:ascii="Arial" w:hAnsi="Arial" w:eastAsia="Arial"/>
          <w:b w:val="0"/>
          <w:i w:val="0"/>
          <w:color w:val="444444"/>
          <w:sz w:val="17"/>
        </w:rPr>
        <w:t>Tafjord, O., Dalvi, B., &amp; Clark, P. (2021). ProofWriter: Generating implications, proofs, and abductive statements over natural language. Findings of the Association for Computational Linguistics: ACL-IJCNLP 2021, 3621–3634. https://doi.org/10.18653/v1/2021.findings-acl.317</w:t>
      </w:r>
    </w:p>
    <w:p>
      <w:pPr>
        <w:keepNext w:val="0"/>
        <w:widowControl/>
        <w:spacing w:before="0" w:after="60" w:line="247" w:lineRule="auto"/>
        <w:ind w:left="346" w:hanging="346"/>
      </w:pPr>
      <w:r>
        <w:rPr>
          <w:rFonts w:ascii="Arial" w:hAnsi="Arial" w:eastAsia="Arial"/>
          <w:b w:val="0"/>
          <w:i w:val="0"/>
          <w:color w:val="444444"/>
          <w:sz w:val="17"/>
        </w:rPr>
        <w:t>Sharma, M., Tong, M., Korbak, T., Duvenaud, D., Askell, A., Bowman, S. R., et al. (2023). Towards understanding sycophancy in language models. arXiv:2310.13548. https://github.com/meg-tong/sycophancy-eval</w:t>
      </w:r>
    </w:p>
    <w:p>
      <w:pPr>
        <w:keepNext w:val="0"/>
        <w:widowControl/>
        <w:spacing w:before="0" w:after="60" w:line="247" w:lineRule="auto"/>
        <w:ind w:left="346" w:hanging="346"/>
      </w:pPr>
      <w:r>
        <w:rPr>
          <w:rFonts w:ascii="Arial" w:hAnsi="Arial" w:eastAsia="Arial"/>
          <w:b w:val="0"/>
          <w:i w:val="0"/>
          <w:color w:val="444444"/>
          <w:sz w:val="17"/>
        </w:rPr>
        <w:t>Sinha, A. (2026). SycoBench-600: Benchmarking large language models on sycophancy. Findings of the Association for Computational Linguistics: ACL 2026. https://aclanthology.org/2026.findings-acl.1759/</w:t>
      </w:r>
    </w:p>
    <w:p>
      <w:pPr>
        <w:keepNext w:val="0"/>
        <w:widowControl/>
        <w:spacing w:before="0" w:after="60" w:line="247" w:lineRule="auto"/>
        <w:ind w:left="346" w:hanging="346"/>
      </w:pPr>
      <w:r>
        <w:rPr>
          <w:rFonts w:ascii="Arial" w:hAnsi="Arial" w:eastAsia="Arial"/>
          <w:b w:val="0"/>
          <w:i w:val="0"/>
          <w:color w:val="444444"/>
          <w:sz w:val="17"/>
        </w:rPr>
        <w:t>Wang, X., et al. (2026). When truth is overridden: Uncovering the internal origins of sycophancy in large language models. Proceedings of the AAAI Conference on Artificial Intelligence. https://github.com/kaustpradalab/LLM-sycophancy</w:t>
      </w:r>
    </w:p>
    <w:p>
      <w:pPr>
        <w:keepNext w:val="0"/>
        <w:widowControl/>
        <w:spacing w:before="0" w:after="60" w:line="247" w:lineRule="auto"/>
        <w:ind w:left="346" w:hanging="346"/>
      </w:pPr>
      <w:r>
        <w:rPr>
          <w:rFonts w:ascii="Arial" w:hAnsi="Arial" w:eastAsia="Arial"/>
          <w:b w:val="0"/>
          <w:i w:val="0"/>
          <w:color w:val="444444"/>
          <w:sz w:val="17"/>
        </w:rPr>
        <w:t>Kim, J., &amp; Khashabi, D. (2025). Challenging the evaluator: LLMs as persuadable judges of argument quality. arXiv:2509.16533.</w:t>
      </w:r>
    </w:p>
    <w:p>
      <w:pPr>
        <w:keepNext w:val="0"/>
        <w:widowControl/>
        <w:spacing w:before="0" w:after="60" w:line="247" w:lineRule="auto"/>
        <w:ind w:left="346" w:hanging="346"/>
      </w:pPr>
      <w:r>
        <w:rPr>
          <w:rFonts w:ascii="Arial" w:hAnsi="Arial" w:eastAsia="Arial"/>
          <w:b w:val="0"/>
          <w:i w:val="0"/>
          <w:color w:val="444444"/>
          <w:sz w:val="17"/>
        </w:rPr>
        <w:t>Kaur, D. (2025). Echoes of agreement: Argument-driven sycophancy in large language models. Findings of the Association for Computational Linguistics: EMNLP 2025.</w:t>
      </w:r>
    </w:p>
    <w:p>
      <w:pPr>
        <w:keepNext w:val="0"/>
        <w:widowControl/>
        <w:spacing w:before="0" w:after="60" w:line="247" w:lineRule="auto"/>
        <w:ind w:left="346" w:hanging="346"/>
      </w:pPr>
      <w:r>
        <w:rPr>
          <w:rFonts w:ascii="Arial" w:hAnsi="Arial" w:eastAsia="Arial"/>
          <w:b w:val="0"/>
          <w:i w:val="0"/>
          <w:color w:val="444444"/>
          <w:sz w:val="17"/>
        </w:rPr>
        <w:t>Zhang, F., &amp; Nanda, N. (2023). Towards best practices of activation patching in language models: Metrics and methods. arXiv:2309.16042.</w:t>
      </w:r>
    </w:p>
    <w:p>
      <w:pPr>
        <w:keepNext w:val="0"/>
        <w:widowControl/>
        <w:spacing w:before="0" w:after="60" w:line="247" w:lineRule="auto"/>
        <w:ind w:left="346" w:hanging="346"/>
      </w:pPr>
      <w:r>
        <w:rPr>
          <w:rFonts w:ascii="Arial" w:hAnsi="Arial" w:eastAsia="Arial"/>
          <w:b w:val="0"/>
          <w:i w:val="0"/>
          <w:color w:val="444444"/>
          <w:sz w:val="17"/>
        </w:rPr>
        <w:t>Belrose, N., Furman, Z., Smith, L., Halawi, D., Ostrovsky, I., McKinney, L., Biderman, S., &amp; Steinhardt, J. (2023). Eliciting latent predictions from transformers with the tuned lens. arXiv:2303.08112.</w:t>
      </w:r>
    </w:p>
    <w:p>
      <w:pPr>
        <w:keepNext w:val="0"/>
        <w:widowControl/>
        <w:spacing w:before="0" w:after="60" w:line="247" w:lineRule="auto"/>
        <w:ind w:left="346" w:hanging="346"/>
      </w:pPr>
      <w:r>
        <w:rPr>
          <w:rFonts w:ascii="Arial" w:hAnsi="Arial" w:eastAsia="Arial"/>
          <w:b w:val="0"/>
          <w:i w:val="0"/>
          <w:color w:val="444444"/>
          <w:sz w:val="17"/>
        </w:rPr>
        <w:t>Belinkov, Y. (2022). Probing classifiers: Promises, shortcomings, and advances. Computational Linguistics, 48(1), 207–219.</w:t>
      </w:r>
    </w:p>
    <w:sectPr>
      <w:pgSz w:h="15840" w:w="12240" w:orient="portrait"/>
      <w:pgMar w:bottom="1080"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