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Guard Commercial License Policy</w:t>
      </w:r>
    </w:p>
    <w:p>
      <w:r>
        <w:t>This document defines commercial licensing rules and operational policy for Guard.</w:t>
      </w:r>
    </w:p>
    <w:p>
      <w:pPr>
        <w:pStyle w:val="Heading2"/>
      </w:pPr>
      <w:r>
        <w:t>1. Editions</w:t>
      </w:r>
    </w:p>
    <w:p>
      <w:r>
        <w:t>Community, Pro, Pro+.</w:t>
      </w:r>
    </w:p>
    <w:p>
      <w:pPr>
        <w:pStyle w:val="Heading2"/>
      </w:pPr>
      <w:r>
        <w:t>2. License Enforcement Model</w:t>
      </w:r>
    </w:p>
    <w:p>
      <w:r>
        <w:t>All licenses are offline signed using Ed25519 and verified locally.</w:t>
      </w:r>
    </w:p>
    <w:p>
      <w:pPr>
        <w:pStyle w:val="Heading2"/>
      </w:pPr>
      <w:r>
        <w:t>3. Key Rotation Policy</w:t>
      </w:r>
    </w:p>
    <w:p>
      <w:r>
        <w:t>Public keys may be rotated by updating LICENSE_KEYSET while preserving backward compatibility.</w:t>
      </w:r>
    </w:p>
    <w:p>
      <w:pPr>
        <w:pStyle w:val="Heading2"/>
      </w:pPr>
      <w:r>
        <w:t>4. Enterprise Agreements</w:t>
      </w:r>
    </w:p>
    <w:p>
      <w:r>
        <w:t>Enterprise customers may negotiate SLA, support, and audit clauses.</w:t>
      </w:r>
    </w:p>
    <w:p>
      <w:pPr>
        <w:pStyle w:val="Heading2"/>
      </w:pPr>
      <w:r>
        <w:t>5. Compliance</w:t>
      </w:r>
    </w:p>
    <w:p>
      <w:r>
        <w:t>Guard maintains deterministic exit codes for CI/CD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