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</w:p>
    <w:p>
      <w:pPr>
        <w:spacing w:before="0" w:after="80"/>
      </w:pPr>
    </w:p>
    <w:p>
      <w:pPr>
        <w:spacing w:before="0" w:after="80"/>
      </w:pPr>
    </w:p>
    <w:p>
      <w:pPr>
        <w:jc w:val="center"/>
      </w:pPr>
      <w:r>
        <w:rPr>
          <w:b/>
          <w:color w:val="1B2A3B"/>
          <w:sz w:val="64"/>
        </w:rPr>
        <w:t>BUSINESSPLAN</w:t>
      </w:r>
    </w:p>
    <w:p>
      <w:pPr>
        <w:jc w:val="center"/>
      </w:pPr>
      <w:r>
        <w:rPr>
          <w:b/>
          <w:color w:val="2980B9"/>
          <w:sz w:val="52"/>
        </w:rPr>
        <w:t>AtelierOS</w:t>
      </w:r>
    </w:p>
    <w:p>
      <w:pPr>
        <w:spacing w:before="0" w:after="80"/>
      </w:pPr>
    </w:p>
    <w:p>
      <w:pPr>
        <w:jc w:val="center"/>
      </w:pPr>
      <w:r>
        <w:rPr>
          <w:i/>
          <w:color w:val="555555"/>
          <w:sz w:val="28"/>
        </w:rPr>
        <w:t>KI-Betriebsplattform mit eingebauter</w:t>
        <w:br/>
        <w:t>EU-AI-Act-Compliance</w:t>
      </w:r>
    </w:p>
    <w:p>
      <w:pPr>
        <w:spacing w:before="0" w:after="80"/>
      </w:pPr>
    </w:p>
    <w:p>
      <w:pPr>
        <w:spacing w:before="0" w:after="80"/>
      </w:pPr>
    </w:p>
    <w:p>
      <w:pPr>
        <w:spacing w:before="0"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B2A3B"/>
          </w:tcPr>
          <w:p>
            <w:r>
              <w:rPr>
                <w:b/>
                <w:color w:val="FFFFFF"/>
              </w:rPr>
              <w:t>Gründer</w:t>
            </w:r>
          </w:p>
        </w:tc>
        <w:tc>
          <w:tcPr>
            <w:tcW w:type="dxa" w:w="4536"/>
          </w:tcPr>
          <w:p>
            <w:r>
              <w:rPr>
                <w:sz w:val="22"/>
              </w:rPr>
              <w:t>Silvio Jurk, Berlin</w:t>
            </w:r>
          </w:p>
        </w:tc>
      </w:tr>
      <w:tr>
        <w:tc>
          <w:tcPr>
            <w:tcW w:type="dxa" w:w="4536"/>
            <w:shd w:val="clear" w:color="auto" w:fill="1B2A3B"/>
          </w:tcPr>
          <w:p>
            <w:r>
              <w:rPr>
                <w:b/>
                <w:color w:val="FFFFFF"/>
              </w:rPr>
              <w:t>Stand</w:t>
            </w:r>
          </w:p>
        </w:tc>
        <w:tc>
          <w:tcPr>
            <w:tcW w:type="dxa" w:w="4536"/>
          </w:tcPr>
          <w:p>
            <w:r>
              <w:rPr>
                <w:sz w:val="22"/>
              </w:rPr>
              <w:t>28.05.2026</w:t>
            </w:r>
          </w:p>
        </w:tc>
      </w:tr>
      <w:tr>
        <w:tc>
          <w:tcPr>
            <w:tcW w:type="dxa" w:w="4536"/>
            <w:shd w:val="clear" w:color="auto" w:fill="1B2A3B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4536"/>
          </w:tcPr>
          <w:p>
            <w:r>
              <w:rPr>
                <w:sz w:val="22"/>
              </w:rPr>
              <w:t>2.0 – vollständig ausgearbeitet</w:t>
            </w:r>
          </w:p>
        </w:tc>
      </w:tr>
      <w:tr>
        <w:tc>
          <w:tcPr>
            <w:tcW w:type="dxa" w:w="4536"/>
            <w:shd w:val="clear" w:color="auto" w:fill="1B2A3B"/>
          </w:tcPr>
          <w:p>
            <w:r>
              <w:rPr>
                <w:b/>
                <w:color w:val="FFFFFF"/>
              </w:rPr>
              <w:t>Vertraulichkeit</w:t>
            </w:r>
          </w:p>
        </w:tc>
        <w:tc>
          <w:tcPr>
            <w:tcW w:type="dxa" w:w="4536"/>
          </w:tcPr>
          <w:p>
            <w:r>
              <w:rPr>
                <w:sz w:val="22"/>
              </w:rPr>
              <w:t>Vertraulich – nur für fachkundige Stellen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2A3B"/>
        </w:rPr>
        <w:t>1. Executive Summary</w:t>
      </w:r>
    </w:p>
    <w:p>
      <w:pPr>
        <w:pBdr>
          <w:bottom w:val="single" w:sz="4" w:space="1" w:color="1B2A3B"/>
        </w:pBdr>
        <w:spacing w:after="200"/>
      </w:pPr>
    </w:p>
    <w:p>
      <w:pPr>
        <w:spacing w:before="0" w:after="120"/>
      </w:pPr>
      <w:r>
        <w:rPr>
          <w:b w:val="0"/>
          <w:i w:val="0"/>
        </w:rPr>
        <w:t>AtelierOS ist eine Open-Source-KI-Betriebsplattform, die Unternehmen ermöglicht, KI-Agenten datenschutzkonform, sicher und vollständig nachvollziehbar zu betreiben. Das Alleinstellungsmerkmal: Eingebaute EU-AI-Act-Compliance (Art. 50) und DSGVO-Konformität als strukturelles Fundament — nicht als nachträgliches Modul.</w:t>
      </w:r>
    </w:p>
    <w:p>
      <w:pPr>
        <w:spacing w:before="0" w:after="120"/>
      </w:pPr>
      <w:r>
        <w:rPr>
          <w:b w:val="0"/>
          <w:i w:val="0"/>
        </w:rPr>
        <w:t>Die Plattform geht aus einem bereits vollständig entwickelten Produkt hervor (v0.13.0, 183 automatisierte Tests, produktiver Docker-Stack, Web-Console mit 19 implementierten Seiten, 38 Architektur-Layers). Das Produkt ist bereit für den öffentlichen OSS-Launch im Q3 2026.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B2A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Umsatz Jahr 1</w:t>
            </w:r>
          </w:p>
        </w:tc>
        <w:tc>
          <w:tcPr>
            <w:tcW w:type="dxa" w:w="2268"/>
            <w:shd w:val="clear" w:color="auto" w:fill="1B2A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Umsatz Jahr 2</w:t>
            </w:r>
          </w:p>
        </w:tc>
        <w:tc>
          <w:tcPr>
            <w:tcW w:type="dxa" w:w="2268"/>
            <w:shd w:val="clear" w:color="auto" w:fill="1B2A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Umsatz Jahr 3</w:t>
            </w:r>
          </w:p>
        </w:tc>
        <w:tc>
          <w:tcPr>
            <w:tcW w:type="dxa" w:w="2268"/>
            <w:shd w:val="clear" w:color="auto" w:fill="1B2A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Break-Even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color w:val="2980B9"/>
                <w:sz w:val="26"/>
              </w:rPr>
              <w:t>€23.820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color w:val="2980B9"/>
                <w:sz w:val="26"/>
              </w:rPr>
              <w:t>€217.600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color w:val="2980B9"/>
                <w:sz w:val="26"/>
              </w:rPr>
              <w:t>€744.000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color w:val="2980B9"/>
                <w:sz w:val="26"/>
              </w:rPr>
              <w:t>Monat 8</w:t>
            </w:r>
          </w:p>
        </w:tc>
      </w:tr>
    </w:tbl>
    <w:p>
      <w:pPr>
        <w:spacing w:before="0" w:after="80"/>
      </w:pPr>
    </w:p>
    <w:p>
      <w:pPr>
        <w:pStyle w:val="ListBullet"/>
        <w:ind w:left="360"/>
      </w:pPr>
      <w:r>
        <w:t>Produkt vollständig entwickelt — kein reines Konzept-Pitch</w:t>
      </w:r>
    </w:p>
    <w:p>
      <w:pPr>
        <w:pStyle w:val="ListBullet"/>
        <w:ind w:left="360"/>
      </w:pPr>
      <w:r>
        <w:t>EU AI Act Art. 50 Pflicht ab August 2026 → harter Marktöffner für Enterprise-Tier</w:t>
      </w:r>
    </w:p>
    <w:p>
      <w:pPr>
        <w:pStyle w:val="ListBullet"/>
        <w:ind w:left="360"/>
      </w:pPr>
      <w:r>
        <w:t>Open-Core-Modell: kostenlose Adoption → bezahlte Konversion im Team/Enterprise-Bereich</w:t>
      </w:r>
    </w:p>
    <w:p>
      <w:pPr>
        <w:pStyle w:val="ListBullet"/>
        <w:ind w:left="360"/>
      </w:pPr>
      <w:r>
        <w:t>Break-Even bereits im 8. Betriebsmonat bei moderaten Kundenzielen</w:t>
      </w:r>
    </w:p>
    <w:p>
      <w:r>
        <w:br w:type="page"/>
      </w:r>
    </w:p>
    <w:p>
      <w:pPr>
        <w:pStyle w:val="Heading1"/>
      </w:pPr>
      <w:r>
        <w:rPr>
          <w:color w:val="1B2A3B"/>
        </w:rPr>
        <w:t>2. Gründer &amp; Unternehmen</w:t>
      </w:r>
    </w:p>
    <w:p>
      <w:pPr>
        <w:pBdr>
          <w:bottom w:val="single" w:sz="4" w:space="1" w:color="1B2A3B"/>
        </w:pBdr>
        <w:spacing w:after="200"/>
      </w:pPr>
    </w:p>
    <w:p>
      <w:pPr>
        <w:pStyle w:val="Heading2"/>
      </w:pPr>
      <w:r>
        <w:rPr>
          <w:color w:val="2980B9"/>
        </w:rPr>
        <w:t>2.1 Gründerprofil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ECF0F1"/>
          </w:tcPr>
          <w:p>
            <w:r>
              <w:rPr>
                <w:b/>
                <w:color w:val="1B2A3B"/>
              </w:rPr>
              <w:t>Name</w:t>
            </w:r>
          </w:p>
        </w:tc>
        <w:tc>
          <w:tcPr>
            <w:tcW w:type="dxa" w:w="4536"/>
          </w:tcPr>
          <w:p>
            <w:r>
              <w:t>Silvio Jurk</w:t>
            </w:r>
          </w:p>
        </w:tc>
      </w:tr>
      <w:tr>
        <w:tc>
          <w:tcPr>
            <w:tcW w:type="dxa" w:w="4536"/>
            <w:shd w:val="clear" w:color="auto" w:fill="ECF0F1"/>
          </w:tcPr>
          <w:p>
            <w:r>
              <w:rPr>
                <w:b/>
                <w:color w:val="1B2A3B"/>
              </w:rPr>
              <w:t>Wohnort</w:t>
            </w:r>
          </w:p>
        </w:tc>
        <w:tc>
          <w:tcPr>
            <w:tcW w:type="dxa" w:w="4536"/>
          </w:tcPr>
          <w:p>
            <w:r>
              <w:t>Berlin</w:t>
            </w:r>
          </w:p>
        </w:tc>
      </w:tr>
      <w:tr>
        <w:tc>
          <w:tcPr>
            <w:tcW w:type="dxa" w:w="4536"/>
            <w:shd w:val="clear" w:color="auto" w:fill="ECF0F1"/>
          </w:tcPr>
          <w:p>
            <w:r>
              <w:rPr>
                <w:b/>
                <w:color w:val="1B2A3B"/>
              </w:rPr>
              <w:t>Rolle</w:t>
            </w:r>
          </w:p>
        </w:tc>
        <w:tc>
          <w:tcPr>
            <w:tcW w:type="dxa" w:w="4536"/>
          </w:tcPr>
          <w:p>
            <w:r>
              <w:t>Solo-Gründer, Full-Stack &amp; Architektur</w:t>
            </w:r>
          </w:p>
        </w:tc>
      </w:tr>
      <w:tr>
        <w:tc>
          <w:tcPr>
            <w:tcW w:type="dxa" w:w="4536"/>
            <w:shd w:val="clear" w:color="auto" w:fill="ECF0F1"/>
          </w:tcPr>
          <w:p>
            <w:r>
              <w:rPr>
                <w:b/>
                <w:color w:val="1B2A3B"/>
              </w:rPr>
              <w:t>Fachkenntnisse</w:t>
            </w:r>
          </w:p>
        </w:tc>
        <w:tc>
          <w:tcPr>
            <w:tcW w:type="dxa" w:w="4536"/>
          </w:tcPr>
          <w:p>
            <w:r>
              <w:t>Python, Node.js, Docker, KI-APIs (Anthropic, OpenAI, Ollama), EU AI Act, DSGVO</w:t>
            </w:r>
          </w:p>
        </w:tc>
      </w:tr>
      <w:tr>
        <w:tc>
          <w:tcPr>
            <w:tcW w:type="dxa" w:w="4536"/>
            <w:shd w:val="clear" w:color="auto" w:fill="ECF0F1"/>
          </w:tcPr>
          <w:p>
            <w:r>
              <w:rPr>
                <w:b/>
                <w:color w:val="1B2A3B"/>
              </w:rPr>
              <w:t>Entwicklungszeit</w:t>
            </w:r>
          </w:p>
        </w:tc>
        <w:tc>
          <w:tcPr>
            <w:tcW w:type="dxa" w:w="4536"/>
          </w:tcPr>
          <w:p>
            <w:r>
              <w:t>Vollständige Eigenentwicklung aller 38 Architektur-Layer seit 2024</w:t>
            </w:r>
          </w:p>
        </w:tc>
      </w:tr>
      <w:tr>
        <w:tc>
          <w:tcPr>
            <w:tcW w:type="dxa" w:w="4536"/>
            <w:shd w:val="clear" w:color="auto" w:fill="ECF0F1"/>
          </w:tcPr>
          <w:p>
            <w:r>
              <w:rPr>
                <w:b/>
                <w:color w:val="1B2A3B"/>
              </w:rPr>
              <w:t>Pitch-Pipeline</w:t>
            </w:r>
          </w:p>
        </w:tc>
        <w:tc>
          <w:tcPr>
            <w:tcW w:type="dxa" w:w="4536"/>
          </w:tcPr>
          <w:p>
            <w:r>
              <w:t>Deep Tech Night @ Fraunhofer HHI (23.06.2026), Silicon-Allee KI-Accelerator</w:t>
            </w:r>
          </w:p>
        </w:tc>
      </w:tr>
    </w:tbl>
    <w:p>
      <w:pPr>
        <w:spacing w:before="160" w:after="80"/>
      </w:pPr>
    </w:p>
    <w:p>
      <w:pPr>
        <w:pStyle w:val="Heading2"/>
      </w:pPr>
      <w:r>
        <w:rPr>
          <w:color w:val="2980B9"/>
        </w:rPr>
        <w:t>2.2 Geplante Rechtsform</w:t>
      </w:r>
    </w:p>
    <w:p>
      <w:pPr>
        <w:spacing w:before="0" w:after="160"/>
      </w:pPr>
      <w:r>
        <w:rPr>
          <w:b w:val="0"/>
          <w:i w:val="0"/>
        </w:rPr>
        <w:t>Geplant ist die Gründung als Einzelunternehmen ab sofort, mit Option auf Umwandlung in eine UG (haftungsbeschränkt) nach dem ersten Enterprise-Abschluss (voraussichtlich Q1 2027). Die UG bietet bei SaaS-Produkten mit B2B-Verträgen den nötigen Haftungsrahmen.</w:t>
      </w:r>
    </w:p>
    <w:p>
      <w:pPr>
        <w:pStyle w:val="Heading2"/>
      </w:pPr>
      <w:r>
        <w:rPr>
          <w:color w:val="2980B9"/>
        </w:rPr>
        <w:t>2.3 Standort &amp; Infrastruktur</w:t>
      </w:r>
    </w:p>
    <w:p>
      <w:pPr>
        <w:pStyle w:val="ListBullet"/>
        <w:ind w:left="360"/>
      </w:pPr>
      <w:r>
        <w:t>Betriebsstätte: Berlin (Homeoffice, keine Miete notwendig)</w:t>
      </w:r>
    </w:p>
    <w:p>
      <w:pPr>
        <w:pStyle w:val="ListBullet"/>
        <w:ind w:left="360"/>
      </w:pPr>
      <w:r>
        <w:t>Produktion: Hetzner Cloud (fsn1, Nürnberg/EU) — DSGVO-konform, EU-Rechenzentrum</w:t>
      </w:r>
    </w:p>
    <w:p>
      <w:pPr>
        <w:pStyle w:val="ListBullet"/>
        <w:ind w:left="360"/>
      </w:pPr>
      <w:r>
        <w:t>Entwicklung: Lokales Setup, GitHub für Versionskontrolle (Apache-2.0 OSS)</w:t>
      </w:r>
    </w:p>
    <w:p>
      <w:pPr>
        <w:pStyle w:val="ListBullet"/>
        <w:ind w:left="360"/>
      </w:pPr>
      <w:r>
        <w:t>Kommunikation: Discord-Server für Community, LinkedIn für B2B</w:t>
      </w:r>
    </w:p>
    <w:p>
      <w:r>
        <w:br w:type="page"/>
      </w:r>
    </w:p>
    <w:p>
      <w:pPr>
        <w:pStyle w:val="Heading1"/>
      </w:pPr>
      <w:r>
        <w:rPr>
          <w:color w:val="1B2A3B"/>
        </w:rPr>
        <w:t>3. Produkt &amp; Technologie</w:t>
      </w:r>
    </w:p>
    <w:p>
      <w:pPr>
        <w:pBdr>
          <w:bottom w:val="single" w:sz="4" w:space="1" w:color="1B2A3B"/>
        </w:pBdr>
        <w:spacing w:after="200"/>
      </w:pPr>
    </w:p>
    <w:p>
      <w:pPr>
        <w:pStyle w:val="Heading2"/>
      </w:pPr>
      <w:r>
        <w:rPr>
          <w:color w:val="2980B9"/>
        </w:rPr>
        <w:t>3.1 Was ist AtelierOS?</w:t>
      </w:r>
    </w:p>
    <w:p>
      <w:pPr>
        <w:spacing w:before="0" w:after="120"/>
      </w:pPr>
      <w:r>
        <w:rPr>
          <w:b w:val="0"/>
          <w:i w:val="0"/>
        </w:rPr>
        <w:t>AtelierOS ist eine KI-Betriebsschicht ("KI-OS"), die zwischen dem Endnutzer und KI-Modellen (Claude, GPT, lokale Modelle via Ollama) vermittelt. Im Gegensatz zu einfachen Chat-Wrappernsn ist AtelierOS ein vollständiges Betriebssystem für KI-Workloads: mit Audit-Trail, Benutzerrechten, Datenschutz-Gates und Compliance-Export.</w:t>
      </w:r>
    </w:p>
    <w:p>
      <w:pPr>
        <w:pStyle w:val="Heading2"/>
      </w:pPr>
      <w:r>
        <w:rPr>
          <w:color w:val="2980B9"/>
        </w:rPr>
        <w:t>3.2 Kern-Features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B2A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536"/>
            <w:shd w:val="clear" w:color="auto" w:fill="1B2A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Beschreibung</w:t>
            </w:r>
          </w:p>
        </w:tc>
      </w:tr>
      <w:tr>
        <w:tc>
          <w:tcPr>
            <w:tcW w:type="dxa" w:w="4536"/>
            <w:shd w:val="clear" w:color="auto" w:fill="F4F6F7"/>
          </w:tcPr>
          <w:p>
            <w:r>
              <w:rPr>
                <w:b/>
                <w:color w:val="2980B9"/>
              </w:rPr>
              <w:t>Tamper-evident Audit-Chain</w:t>
            </w:r>
          </w:p>
        </w:tc>
        <w:tc>
          <w:tcPr>
            <w:tcW w:type="dxa" w:w="4536"/>
            <w:shd w:val="clear" w:color="auto" w:fill="F4F6F7"/>
          </w:tcPr>
          <w:p>
            <w:r>
              <w:t>Hash-verkettetes, manipulationssicheres Protokoll aller KI-Interaktionen (Layer 16). Exportierbar für Behörden und Prüfer.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color w:val="2980B9"/>
              </w:rPr>
              <w:t>Consent-Management</w:t>
            </w:r>
          </w:p>
        </w:tc>
        <w:tc>
          <w:tcPr>
            <w:tcW w:type="dxa" w:w="4536"/>
          </w:tcPr>
          <w:p>
            <w:r>
              <w:t>DSGVO-Art. 6/7-konformes Einwilligungs-Gate mit TTL-Steuerung. Deny-by-default. Recht auf Vergessenwerden (Art. 17) integriert.</w:t>
            </w:r>
          </w:p>
        </w:tc>
      </w:tr>
      <w:tr>
        <w:tc>
          <w:tcPr>
            <w:tcW w:type="dxa" w:w="4536"/>
            <w:shd w:val="clear" w:color="auto" w:fill="F4F6F7"/>
          </w:tcPr>
          <w:p>
            <w:r>
              <w:rPr>
                <w:b/>
                <w:color w:val="2980B9"/>
              </w:rPr>
              <w:t>Forge-System (Sandbox)</w:t>
            </w:r>
          </w:p>
        </w:tc>
        <w:tc>
          <w:tcPr>
            <w:tcW w:type="dxa" w:w="4536"/>
            <w:shd w:val="clear" w:color="auto" w:fill="F4F6F7"/>
          </w:tcPr>
          <w:p>
            <w:r>
              <w:t>Sandboxierte, deterministische KI-Tools via bwrap-Isolation. Jedes Tool ist reproduzierbar und schema-validiert.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color w:val="2980B9"/>
              </w:rPr>
              <w:t>Multi-Persona &amp; Rollen</w:t>
            </w:r>
          </w:p>
        </w:tc>
        <w:tc>
          <w:tcPr>
            <w:tcW w:type="dxa" w:w="4536"/>
          </w:tcPr>
          <w:p>
            <w:r>
              <w:t>Bis zu 8 gleichzeitige KI-Personas pro Chat, Rollen-Management (Owner → Admin → Member → Observer).</w:t>
            </w:r>
          </w:p>
        </w:tc>
      </w:tr>
      <w:tr>
        <w:tc>
          <w:tcPr>
            <w:tcW w:type="dxa" w:w="4536"/>
            <w:shd w:val="clear" w:color="auto" w:fill="F4F6F7"/>
          </w:tcPr>
          <w:p>
            <w:r>
              <w:rPr>
                <w:b/>
                <w:color w:val="2980B9"/>
              </w:rPr>
              <w:t>7 Bridge-Adapter</w:t>
            </w:r>
          </w:p>
        </w:tc>
        <w:tc>
          <w:tcPr>
            <w:tcW w:type="dxa" w:w="4536"/>
            <w:shd w:val="clear" w:color="auto" w:fill="F4F6F7"/>
          </w:tcPr>
          <w:p>
            <w:r>
              <w:t>Discord, WhatsApp, Signal, REST, gRPC und weitere. Jede Bridge hot-reload-fähig ohne Neustart.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color w:val="2980B9"/>
              </w:rPr>
              <w:t>Voice-Integration</w:t>
            </w:r>
          </w:p>
        </w:tc>
        <w:tc>
          <w:tcPr>
            <w:tcW w:type="dxa" w:w="4536"/>
          </w:tcPr>
          <w:p>
            <w:r>
              <w:t>Speech-to-Text (Whisper) + TTS, Metadata-only Audit (nie Transkripttext).</w:t>
            </w:r>
          </w:p>
        </w:tc>
      </w:tr>
      <w:tr>
        <w:tc>
          <w:tcPr>
            <w:tcW w:type="dxa" w:w="4536"/>
            <w:shd w:val="clear" w:color="auto" w:fill="F4F6F7"/>
          </w:tcPr>
          <w:p>
            <w:r>
              <w:rPr>
                <w:b/>
                <w:color w:val="2980B9"/>
              </w:rPr>
              <w:t>Web-Console</w:t>
            </w:r>
          </w:p>
        </w:tc>
        <w:tc>
          <w:tcPr>
            <w:tcW w:type="dxa" w:w="4536"/>
            <w:shd w:val="clear" w:color="auto" w:fill="F4F6F7"/>
          </w:tcPr>
          <w:p>
            <w:r>
              <w:t>19 implementierte Seiten: Compliance-Reports, Audit-Viewer, Persona-Management, User-Verwaltung.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color w:val="2980B9"/>
              </w:rPr>
              <w:t>EU AI Act Compliance-Reports</w:t>
            </w:r>
          </w:p>
        </w:tc>
        <w:tc>
          <w:tcPr>
            <w:tcW w:type="dxa" w:w="4536"/>
          </w:tcPr>
          <w:p>
            <w:r>
              <w:t>Automatisch generierte Dokumentation gem. Art. 50 EU AI Act — der direkte Enterprise-Mehrwert.</w:t>
            </w:r>
          </w:p>
        </w:tc>
      </w:tr>
    </w:tbl>
    <w:p>
      <w:pPr>
        <w:spacing w:before="200" w:after="80"/>
      </w:pPr>
    </w:p>
    <w:p>
      <w:pPr>
        <w:pStyle w:val="Heading2"/>
      </w:pPr>
      <w:r>
        <w:rPr>
          <w:color w:val="2980B9"/>
        </w:rPr>
        <w:t>3.3 Technischer Reifegrad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ECF0F1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536"/>
          </w:tcPr>
          <w:p>
            <w:r>
              <w:t>v0.13.0 (produktionserprobt)</w:t>
            </w:r>
          </w:p>
        </w:tc>
      </w:tr>
      <w:tr>
        <w:tc>
          <w:tcPr>
            <w:tcW w:type="dxa" w:w="4536"/>
            <w:shd w:val="clear" w:color="auto" w:fill="ECF0F1"/>
          </w:tcPr>
          <w:p>
            <w:r>
              <w:rPr>
                <w:b/>
              </w:rPr>
              <w:t>Test-Abdeckung</w:t>
            </w:r>
          </w:p>
        </w:tc>
        <w:tc>
          <w:tcPr>
            <w:tcW w:type="dxa" w:w="4536"/>
          </w:tcPr>
          <w:p>
            <w:r>
              <w:t>183 automatisierte Tests (pytest), CI/CD via GitHub Actions</w:t>
            </w:r>
          </w:p>
        </w:tc>
      </w:tr>
      <w:tr>
        <w:tc>
          <w:tcPr>
            <w:tcW w:type="dxa" w:w="4536"/>
            <w:shd w:val="clear" w:color="auto" w:fill="ECF0F1"/>
          </w:tcPr>
          <w:p>
            <w:r>
              <w:rPr>
                <w:b/>
              </w:rPr>
              <w:t>Deployment</w:t>
            </w:r>
          </w:p>
        </w:tc>
        <w:tc>
          <w:tcPr>
            <w:tcW w:type="dxa" w:w="4536"/>
          </w:tcPr>
          <w:p>
            <w:r>
              <w:t>Docker Compose Stack, setup.sh Wizard, Hetzner-Produktivserver live</w:t>
            </w:r>
          </w:p>
        </w:tc>
      </w:tr>
      <w:tr>
        <w:tc>
          <w:tcPr>
            <w:tcW w:type="dxa" w:w="4536"/>
            <w:shd w:val="clear" w:color="auto" w:fill="ECF0F1"/>
          </w:tcPr>
          <w:p>
            <w:r>
              <w:rPr>
                <w:b/>
              </w:rPr>
              <w:t>Lizenz</w:t>
            </w:r>
          </w:p>
        </w:tc>
        <w:tc>
          <w:tcPr>
            <w:tcW w:type="dxa" w:w="4536"/>
          </w:tcPr>
          <w:p>
            <w:r>
              <w:t>Apache 2.0 mit CLA §3 Relicense-Right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2A3B"/>
        </w:rPr>
        <w:t>4. Marktanalyse</w:t>
      </w:r>
    </w:p>
    <w:p>
      <w:pPr>
        <w:pBdr>
          <w:bottom w:val="single" w:sz="4" w:space="1" w:color="1B2A3B"/>
        </w:pBdr>
        <w:spacing w:after="200"/>
      </w:pPr>
    </w:p>
    <w:p>
      <w:pPr>
        <w:pStyle w:val="Heading2"/>
      </w:pPr>
      <w:r>
        <w:rPr>
          <w:color w:val="2980B9"/>
        </w:rPr>
        <w:t>4.1 Marktproblem &amp; Zeitpunkt</w:t>
      </w:r>
    </w:p>
    <w:p>
      <w:pPr>
        <w:spacing w:before="0" w:after="120"/>
      </w:pPr>
      <w:r>
        <w:rPr>
          <w:b w:val="0"/>
          <w:i w:val="0"/>
        </w:rPr>
        <w:t>Ab August 2026 tritt EU AI Act Art. 50 vollständig in Kraft. Jedes Unternehmen, das KI-Systeme mit Nutzerinteraktion betreibt, muss technisch nachweisen können: (1) Offenlegung gegenüber dem Nutzer, (2) auditierbare Entscheidungshistorie, (3) dokumentierte Datenschutzmaßnahmen. Für die große Mehrheit der Unternehmen existiert aktuell keine Lösung dafür.</w:t>
      </w:r>
    </w:p>
    <w:p>
      <w:pPr>
        <w:spacing w:before="0" w:after="160"/>
      </w:pPr>
      <w:r>
        <w:rPr>
          <w:b/>
          <w:i w:val="0"/>
          <w:color w:val="E74C3C"/>
        </w:rPr>
        <w:t>Dieser regulatorische Druck ist kein optionaler Markt — er ist ein gesetzliches Mandat mit Bußgeldrisiko bis zu 3 % des globalen Jahresumsatzes.</w:t>
      </w:r>
    </w:p>
    <w:p>
      <w:pPr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3600000" cy="25565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ket_funn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56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F8C8D"/>
          <w:sz w:val="18"/>
        </w:rPr>
        <w:t>Abb. 1: Zielmarkt-Trichter — TAM, SAM und erreichbarer Markt (SOM)</w:t>
      </w:r>
    </w:p>
    <w:p>
      <w:pPr>
        <w:pStyle w:val="Heading2"/>
      </w:pPr>
      <w:r>
        <w:rPr>
          <w:color w:val="2980B9"/>
        </w:rPr>
        <w:t>4.2 Zielmarktsegmente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B2A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Segment</w:t>
            </w:r>
          </w:p>
        </w:tc>
        <w:tc>
          <w:tcPr>
            <w:tcW w:type="dxa" w:w="2268"/>
            <w:shd w:val="clear" w:color="auto" w:fill="1B2A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Beschreibung</w:t>
            </w:r>
          </w:p>
        </w:tc>
        <w:tc>
          <w:tcPr>
            <w:tcW w:type="dxa" w:w="2268"/>
            <w:shd w:val="clear" w:color="auto" w:fill="1B2A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Größe</w:t>
            </w:r>
          </w:p>
        </w:tc>
        <w:tc>
          <w:tcPr>
            <w:tcW w:type="dxa" w:w="2268"/>
            <w:shd w:val="clear" w:color="auto" w:fill="1B2A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Primärer Kanal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TAM</w:t>
            </w:r>
          </w:p>
        </w:tc>
        <w:tc>
          <w:tcPr>
            <w:tcW w:type="dxa" w:w="2268"/>
          </w:tcPr>
          <w:p>
            <w:r>
              <w:t>Alle EU-Unternehmen mit KI-Nutzung ≥10 MA</w:t>
            </w:r>
          </w:p>
        </w:tc>
        <w:tc>
          <w:tcPr>
            <w:tcW w:type="dxa" w:w="2268"/>
          </w:tcPr>
          <w:p>
            <w:r>
              <w:t>~180.000</w:t>
            </w:r>
          </w:p>
        </w:tc>
        <w:tc>
          <w:tcPr>
            <w:tcW w:type="dxa" w:w="2268"/>
          </w:tcPr>
          <w:p>
            <w:r>
              <w:t>OSS / GitHub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SAM</w:t>
            </w:r>
          </w:p>
        </w:tc>
        <w:tc>
          <w:tcPr>
            <w:tcW w:type="dxa" w:w="2268"/>
          </w:tcPr>
          <w:p>
            <w:r>
              <w:t>Regulierte Sektoren: Fintech, MedTech, LegalTech, HR-Tech</w:t>
            </w:r>
          </w:p>
        </w:tc>
        <w:tc>
          <w:tcPr>
            <w:tcW w:type="dxa" w:w="2268"/>
          </w:tcPr>
          <w:p>
            <w:r>
              <w:t>~35.000</w:t>
            </w:r>
          </w:p>
        </w:tc>
        <w:tc>
          <w:tcPr>
            <w:tcW w:type="dxa" w:w="2268"/>
          </w:tcPr>
          <w:p>
            <w:r>
              <w:t>Content / LinkedIn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SOM</w:t>
            </w:r>
          </w:p>
        </w:tc>
        <w:tc>
          <w:tcPr>
            <w:tcW w:type="dxa" w:w="2268"/>
          </w:tcPr>
          <w:p>
            <w:r>
              <w:t>Direkterreichbar per OSS-Funnel + Direktvertrieb (Jahr 3)</w:t>
            </w:r>
          </w:p>
        </w:tc>
        <w:tc>
          <w:tcPr>
            <w:tcW w:type="dxa" w:w="2268"/>
          </w:tcPr>
          <w:p>
            <w:r>
              <w:t>~500</w:t>
            </w:r>
          </w:p>
        </w:tc>
        <w:tc>
          <w:tcPr>
            <w:tcW w:type="dxa" w:w="2268"/>
          </w:tcPr>
          <w:p>
            <w:r>
              <w:t>Direktansprache</w:t>
            </w:r>
          </w:p>
        </w:tc>
      </w:tr>
    </w:tbl>
    <w:p>
      <w:pPr>
        <w:pStyle w:val="Heading2"/>
      </w:pPr>
      <w:r>
        <w:rPr>
          <w:color w:val="2980B9"/>
        </w:rPr>
        <w:t>4.3 Markttreiber</w:t>
      </w:r>
    </w:p>
    <w:p>
      <w:pPr>
        <w:pStyle w:val="ListBullet"/>
        <w:ind w:left="360"/>
      </w:pPr>
      <w:r>
        <w:t>EU AI Act Art. 50 — gesetzliche Compliance-Pflicht ab August 2026 (harter Deadline-Druck)</w:t>
      </w:r>
    </w:p>
    <w:p>
      <w:pPr>
        <w:pStyle w:val="ListBullet"/>
        <w:ind w:left="360"/>
      </w:pPr>
      <w:r>
        <w:t>DSGVO Art. 30/32 — Unternehmen suchen auditierbare KI-Prozesse für Datenschutz-Rechenschaft</w:t>
      </w:r>
    </w:p>
    <w:p>
      <w:pPr>
        <w:pStyle w:val="ListBullet"/>
        <w:ind w:left="360"/>
      </w:pPr>
      <w:r>
        <w:t>KI-Adoption — Gartner: 70 % der Unternehmen nutzen 2026 generative KI im Tagesgeschäft</w:t>
      </w:r>
    </w:p>
    <w:p>
      <w:pPr>
        <w:pStyle w:val="ListBullet"/>
        <w:ind w:left="360"/>
      </w:pPr>
      <w:r>
        <w:t>Sicherheitsbedenken — Prompt-Injection, Datenlecks treiben Nachfrage nach isolierten Sandboxen</w:t>
      </w:r>
    </w:p>
    <w:p>
      <w:r>
        <w:br w:type="page"/>
      </w:r>
    </w:p>
    <w:p>
      <w:pPr>
        <w:pStyle w:val="Heading1"/>
      </w:pPr>
      <w:r>
        <w:rPr>
          <w:color w:val="1B2A3B"/>
        </w:rPr>
        <w:t>5. Wettbewerbsanalyse</w:t>
      </w:r>
    </w:p>
    <w:p>
      <w:pPr>
        <w:pBdr>
          <w:bottom w:val="single" w:sz="4" w:space="1" w:color="1B2A3B"/>
        </w:pBdr>
        <w:spacing w:after="200"/>
      </w:pPr>
    </w:p>
    <w:p>
      <w:pPr>
        <w:pStyle w:val="Heading2"/>
      </w:pPr>
      <w:r>
        <w:rPr>
          <w:color w:val="2980B9"/>
        </w:rPr>
        <w:t>5.1 Direkter Wettbewerb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B2A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Anbieter</w:t>
            </w:r>
          </w:p>
        </w:tc>
        <w:tc>
          <w:tcPr>
            <w:tcW w:type="dxa" w:w="2268"/>
            <w:shd w:val="clear" w:color="auto" w:fill="1B2A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Stärke</w:t>
            </w:r>
          </w:p>
        </w:tc>
        <w:tc>
          <w:tcPr>
            <w:tcW w:type="dxa" w:w="2268"/>
            <w:shd w:val="clear" w:color="auto" w:fill="1B2A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EU-AI-Act-Compliance</w:t>
            </w:r>
          </w:p>
        </w:tc>
        <w:tc>
          <w:tcPr>
            <w:tcW w:type="dxa" w:w="2268"/>
            <w:shd w:val="clear" w:color="auto" w:fill="1B2A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Preismodell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LangChain / LangGraph</w:t>
            </w:r>
          </w:p>
        </w:tc>
        <w:tc>
          <w:tcPr>
            <w:tcW w:type="dxa" w:w="2268"/>
          </w:tcPr>
          <w:p>
            <w:r>
              <w:t>Große Developer-Community, flexible Chains</w:t>
            </w:r>
          </w:p>
        </w:tc>
        <w:tc>
          <w:tcPr>
            <w:tcW w:type="dxa" w:w="2268"/>
          </w:tcPr>
          <w:p>
            <w:r>
              <w:t>✗ Keine</w:t>
            </w:r>
          </w:p>
        </w:tc>
        <w:tc>
          <w:tcPr>
            <w:tcW w:type="dxa" w:w="2268"/>
          </w:tcPr>
          <w:p>
            <w:r>
              <w:t>Open Source (kein SaaS)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Dify.ai</w:t>
            </w:r>
          </w:p>
        </w:tc>
        <w:tc>
          <w:tcPr>
            <w:tcW w:type="dxa" w:w="2268"/>
          </w:tcPr>
          <w:p>
            <w:r>
              <w:t>Sehr gute UX, Low-Code-Ansatz</w:t>
            </w:r>
          </w:p>
        </w:tc>
        <w:tc>
          <w:tcPr>
            <w:tcW w:type="dxa" w:w="2268"/>
          </w:tcPr>
          <w:p>
            <w:r>
              <w:t>✗ Keine</w:t>
            </w:r>
          </w:p>
        </w:tc>
        <w:tc>
          <w:tcPr>
            <w:tcW w:type="dxa" w:w="2268"/>
          </w:tcPr>
          <w:p>
            <w:r>
              <w:t>Free / Cloud ab ~$59/Mo.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MS Copilot Studio</w:t>
            </w:r>
          </w:p>
        </w:tc>
        <w:tc>
          <w:tcPr>
            <w:tcW w:type="dxa" w:w="2268"/>
          </w:tcPr>
          <w:p>
            <w:r>
              <w:t>Microsoft-Ökosystem, Enterprise-Marke</w:t>
            </w:r>
          </w:p>
        </w:tc>
        <w:tc>
          <w:tcPr>
            <w:tcW w:type="dxa" w:w="2268"/>
          </w:tcPr>
          <w:p>
            <w:r>
              <w:t>○ Teilweise (MS Trust Center)</w:t>
            </w:r>
          </w:p>
        </w:tc>
        <w:tc>
          <w:tcPr>
            <w:tcW w:type="dxa" w:w="2268"/>
          </w:tcPr>
          <w:p>
            <w:r>
              <w:t>Ab $200/Mo.+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n8n</w:t>
            </w:r>
          </w:p>
        </w:tc>
        <w:tc>
          <w:tcPr>
            <w:tcW w:type="dxa" w:w="2268"/>
          </w:tcPr>
          <w:p>
            <w:r>
              <w:t>Workflow-Automatisierung, OSS</w:t>
            </w:r>
          </w:p>
        </w:tc>
        <w:tc>
          <w:tcPr>
            <w:tcW w:type="dxa" w:w="2268"/>
          </w:tcPr>
          <w:p>
            <w:r>
              <w:t>✗ Keine</w:t>
            </w:r>
          </w:p>
        </w:tc>
        <w:tc>
          <w:tcPr>
            <w:tcW w:type="dxa" w:w="2268"/>
          </w:tcPr>
          <w:p>
            <w:r>
              <w:t>Free / Cloud ab €24/Mo.</w:t>
            </w:r>
          </w:p>
        </w:tc>
      </w:tr>
      <w:tr>
        <w:tc>
          <w:tcPr>
            <w:tcW w:type="dxa" w:w="2268"/>
            <w:shd w:val="clear" w:color="auto" w:fill="D5F5E3"/>
          </w:tcPr>
          <w:p>
            <w:r>
              <w:rPr>
                <w:b/>
                <w:color w:val="27AE60"/>
              </w:rPr>
              <w:t>AtelierOS</w:t>
            </w:r>
          </w:p>
        </w:tc>
        <w:tc>
          <w:tcPr>
            <w:tcW w:type="dxa" w:w="2268"/>
            <w:shd w:val="clear" w:color="auto" w:fill="D5F5E3"/>
          </w:tcPr>
          <w:p>
            <w:r>
              <w:rPr>
                <w:b/>
                <w:color w:val="27AE60"/>
              </w:rPr>
              <w:t>Strukturelle Compliance, Multi-Bridge, OSS</w:t>
            </w:r>
          </w:p>
        </w:tc>
        <w:tc>
          <w:tcPr>
            <w:tcW w:type="dxa" w:w="2268"/>
            <w:shd w:val="clear" w:color="auto" w:fill="D5F5E3"/>
          </w:tcPr>
          <w:p>
            <w:r>
              <w:rPr>
                <w:b/>
                <w:color w:val="27AE60"/>
              </w:rPr>
              <w:t>✓ Strukturell (Layer 16+)</w:t>
            </w:r>
          </w:p>
        </w:tc>
        <w:tc>
          <w:tcPr>
            <w:tcW w:type="dxa" w:w="2268"/>
            <w:shd w:val="clear" w:color="auto" w:fill="D5F5E3"/>
          </w:tcPr>
          <w:p>
            <w:r>
              <w:rPr>
                <w:b/>
                <w:color w:val="27AE60"/>
              </w:rPr>
              <w:t>Free / €49/Mo. / €15k+/J.</w:t>
            </w:r>
          </w:p>
        </w:tc>
      </w:tr>
    </w:tbl>
    <w:p>
      <w:pPr>
        <w:spacing w:before="200" w:after="80"/>
      </w:pPr>
    </w:p>
    <w:p>
      <w:pPr>
        <w:pStyle w:val="Heading2"/>
      </w:pPr>
      <w:r>
        <w:rPr>
          <w:color w:val="2980B9"/>
        </w:rPr>
        <w:t>5.2 Wettbewerbspositionierung</w:t>
      </w:r>
    </w:p>
    <w:p>
      <w:pPr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3600000" cy="29722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etitive_rad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972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F8C8D"/>
          <w:sz w:val="18"/>
        </w:rPr>
        <w:t>Abb. 2: Radar-Vergleich — 5 Dimensionen (10 = optimal). AtelierOS führt bei Compliance und Multi-Channel.</w:t>
      </w:r>
    </w:p>
    <w:p>
      <w:pPr>
        <w:pStyle w:val="Heading2"/>
      </w:pPr>
      <w:r>
        <w:rPr>
          <w:color w:val="2980B9"/>
        </w:rPr>
        <w:t>5.3 Struktureller Wettbewerbsvorteil (Moat)</w:t>
      </w:r>
    </w:p>
    <w:p>
      <w:pPr>
        <w:pStyle w:val="ListBullet"/>
        <w:ind w:left="360"/>
      </w:pPr>
      <w:r>
        <w:t>Compliance ist eingebaut, nicht nachgerüstet → technisch kaum kopierbar ohne vollständige Neuentwicklung</w:t>
      </w:r>
    </w:p>
    <w:p>
      <w:pPr>
        <w:pStyle w:val="ListBullet"/>
        <w:ind w:left="360"/>
      </w:pPr>
      <w:r>
        <w:t>Hash-Chain-Audit ist durch Dritte prüfbar → Vertrauen bei regulierten Kunden ohne Herstellervertrauen</w:t>
      </w:r>
    </w:p>
    <w:p>
      <w:pPr>
        <w:pStyle w:val="ListBullet"/>
        <w:ind w:left="360"/>
      </w:pPr>
      <w:r>
        <w:t>OSS-Adoption-Schwungrad → Community bringt Sichtbarkeit, bevor Marketing-Budget nötig ist</w:t>
      </w:r>
    </w:p>
    <w:p>
      <w:pPr>
        <w:pStyle w:val="ListBullet"/>
        <w:ind w:left="360"/>
      </w:pPr>
      <w:r>
        <w:t>CLA §3 Relicense-Right → strategische Option für kommerzielle Duallizenzen</w:t>
      </w:r>
    </w:p>
    <w:p>
      <w:pPr>
        <w:pStyle w:val="ListBullet"/>
        <w:ind w:left="360"/>
      </w:pPr>
      <w:r>
        <w:t>EU AI Act-Zeitfenster → wer jetzt deployt, hat 12–18 Monate Vorsprung vor reaktiven Wettbewerbern</w:t>
      </w:r>
    </w:p>
    <w:p>
      <w:r>
        <w:br w:type="page"/>
      </w:r>
    </w:p>
    <w:p>
      <w:pPr>
        <w:pStyle w:val="Heading1"/>
      </w:pPr>
      <w:r>
        <w:rPr>
          <w:color w:val="1B2A3B"/>
        </w:rPr>
        <w:t>6. Geschäftsmodell</w:t>
      </w:r>
    </w:p>
    <w:p>
      <w:pPr>
        <w:pBdr>
          <w:bottom w:val="single" w:sz="4" w:space="1" w:color="1B2A3B"/>
        </w:pBdr>
        <w:spacing w:after="200"/>
      </w:pPr>
    </w:p>
    <w:p>
      <w:pPr>
        <w:spacing w:before="0" w:after="160"/>
      </w:pPr>
      <w:r>
        <w:rPr>
          <w:b w:val="0"/>
          <w:i w:val="0"/>
        </w:rPr>
        <w:t>AtelierOS folgt einem Open-Core-Modell: Ein vollständiger kostenloser OSS-Kern treibt die Adoption, während kommerzielle Tiers auf infrastrukturellen Mehrwerten aufbauen, die selbst-gehostetem Betrieb nicht zur Verfügung stehen.</w:t>
      </w:r>
    </w:p>
    <w:p>
      <w:pPr>
        <w:shd w:val="clear" w:color="auto" w:fill="27AE60"/>
        <w:spacing w:before="160" w:after="40"/>
      </w:pPr>
      <w:r>
        <w:rPr>
          <w:b/>
          <w:color w:val="FFFFFF"/>
          <w:sz w:val="26"/>
        </w:rPr>
        <w:t xml:space="preserve">  Free (OSS) — Kostenlos, Apache 2.0  </w:t>
      </w:r>
    </w:p>
    <w:p>
      <w:pPr>
        <w:spacing w:before="0" w:after="40"/>
      </w:pPr>
      <w:r>
        <w:rPr>
          <w:b w:val="0"/>
          <w:i/>
          <w:color w:val="555555"/>
          <w:sz w:val="20"/>
        </w:rPr>
        <w:t>Zielgruppe: Entwickler, Einzelpersonen, kleine Teams</w:t>
      </w:r>
    </w:p>
    <w:p>
      <w:pPr>
        <w:pStyle w:val="ListBullet"/>
        <w:ind w:left="360"/>
      </w:pPr>
      <w:r>
        <w:t>Vollständiger Core ohne Feature-Gating</w:t>
      </w:r>
    </w:p>
    <w:p>
      <w:pPr>
        <w:pStyle w:val="ListBullet"/>
        <w:ind w:left="360"/>
      </w:pPr>
      <w:r>
        <w:t>Kein API-Key-Requirement für Basisbetrieb</w:t>
      </w:r>
    </w:p>
    <w:p>
      <w:pPr>
        <w:pStyle w:val="ListBullet"/>
        <w:ind w:left="360"/>
      </w:pPr>
      <w:r>
        <w:t>Self-hosted, vollständige Datenkontrolle</w:t>
      </w:r>
    </w:p>
    <w:p>
      <w:pPr>
        <w:pStyle w:val="ListBullet"/>
        <w:ind w:left="360"/>
      </w:pPr>
      <w:r>
        <w:t>Community-Support via GitHub/Discord</w:t>
      </w:r>
    </w:p>
    <w:p>
      <w:pPr>
        <w:spacing w:before="0" w:after="160"/>
      </w:pPr>
      <w:r>
        <w:rPr>
          <w:b/>
          <w:i w:val="0"/>
          <w:color w:val="1B2A3B"/>
        </w:rPr>
        <w:t>→ Ziel: Adoption, GitHub-Stars, Konversions-Funnel</w:t>
      </w:r>
    </w:p>
    <w:p>
      <w:pPr>
        <w:shd w:val="clear" w:color="auto" w:fill="2980B9"/>
        <w:spacing w:before="160" w:after="40"/>
      </w:pPr>
      <w:r>
        <w:rPr>
          <w:b/>
          <w:color w:val="FFFFFF"/>
          <w:sz w:val="26"/>
        </w:rPr>
        <w:t xml:space="preserve">  Pro — €49/Monat (€490/Jahr)  </w:t>
      </w:r>
    </w:p>
    <w:p>
      <w:pPr>
        <w:spacing w:before="0" w:after="40"/>
      </w:pPr>
      <w:r>
        <w:rPr>
          <w:b w:val="0"/>
          <w:i/>
          <w:color w:val="555555"/>
          <w:sz w:val="20"/>
        </w:rPr>
        <w:t>Zielgruppe: Dev-Teams 5–15 Personen, Agenturen, Freelancer</w:t>
      </w:r>
    </w:p>
    <w:p>
      <w:pPr>
        <w:pStyle w:val="ListBullet"/>
        <w:ind w:left="360"/>
      </w:pPr>
      <w:r>
        <w:t>Private Skill/Tool-Registry</w:t>
      </w:r>
    </w:p>
    <w:p>
      <w:pPr>
        <w:pStyle w:val="ListBullet"/>
        <w:ind w:left="360"/>
      </w:pPr>
      <w:r>
        <w:t>Cloud-Hosting ohne eigene API-Key-Verwaltung</w:t>
      </w:r>
    </w:p>
    <w:p>
      <w:pPr>
        <w:pStyle w:val="ListBullet"/>
        <w:ind w:left="360"/>
      </w:pPr>
      <w:r>
        <w:t>Automatische Updates + Managed Backup</w:t>
      </w:r>
    </w:p>
    <w:p>
      <w:pPr>
        <w:pStyle w:val="ListBullet"/>
        <w:ind w:left="360"/>
      </w:pPr>
      <w:r>
        <w:t>E-Mail-Support mit 48h SLA</w:t>
      </w:r>
    </w:p>
    <w:p>
      <w:pPr>
        <w:spacing w:before="0" w:after="160"/>
      </w:pPr>
      <w:r>
        <w:rPr>
          <w:b/>
          <w:i w:val="0"/>
          <w:color w:val="1B2A3B"/>
        </w:rPr>
        <w:t>→ Conversion-Trigger: Keyless-Betrieb nötig, wenn Team wächst</w:t>
      </w:r>
    </w:p>
    <w:p>
      <w:pPr>
        <w:shd w:val="clear" w:color="auto" w:fill="E74C3C"/>
        <w:spacing w:before="160" w:after="40"/>
      </w:pPr>
      <w:r>
        <w:rPr>
          <w:b/>
          <w:color w:val="FFFFFF"/>
          <w:sz w:val="26"/>
        </w:rPr>
        <w:t xml:space="preserve">  Enterprise — €15.000–€80.000/Jahr  </w:t>
      </w:r>
    </w:p>
    <w:p>
      <w:pPr>
        <w:spacing w:before="0" w:after="40"/>
      </w:pPr>
      <w:r>
        <w:rPr>
          <w:b w:val="0"/>
          <w:i/>
          <w:color w:val="555555"/>
          <w:sz w:val="20"/>
        </w:rPr>
        <w:t>Zielgruppe: Regulierte Unternehmen ≥50 MA, Fintech, MedTech, LegalTech</w:t>
      </w:r>
    </w:p>
    <w:p>
      <w:pPr>
        <w:pStyle w:val="ListBullet"/>
        <w:ind w:left="360"/>
      </w:pPr>
      <w:r>
        <w:t>EU AI Act Art. 50 Compliance-Reports (on-demand)</w:t>
      </w:r>
    </w:p>
    <w:p>
      <w:pPr>
        <w:pStyle w:val="ListBullet"/>
        <w:ind w:left="360"/>
      </w:pPr>
      <w:r>
        <w:t>On-Prem-Deployment mit SLA</w:t>
      </w:r>
    </w:p>
    <w:p>
      <w:pPr>
        <w:pStyle w:val="ListBullet"/>
        <w:ind w:left="360"/>
      </w:pPr>
      <w:r>
        <w:t>DPIA-Support, Audit-Export für Behörden</w:t>
      </w:r>
    </w:p>
    <w:p>
      <w:pPr>
        <w:pStyle w:val="ListBullet"/>
        <w:ind w:left="360"/>
      </w:pPr>
      <w:r>
        <w:t>Dedizierter Account Manager</w:t>
      </w:r>
    </w:p>
    <w:p>
      <w:pPr>
        <w:pStyle w:val="ListBullet"/>
        <w:ind w:left="360"/>
      </w:pPr>
      <w:r>
        <w:t>Custom Engine-Allowlists + Datenschutzzone</w:t>
      </w:r>
    </w:p>
    <w:p>
      <w:pPr>
        <w:spacing w:before="0" w:after="160"/>
      </w:pPr>
      <w:r>
        <w:rPr>
          <w:b/>
          <w:i w:val="0"/>
          <w:color w:val="1B2A3B"/>
        </w:rPr>
        <w:t>→ Conversion-Trigger: EU AI Act Pflicht ab August 2026</w:t>
      </w:r>
    </w:p>
    <w:p>
      <w:r>
        <w:br w:type="page"/>
      </w:r>
    </w:p>
    <w:p>
      <w:pPr>
        <w:pStyle w:val="Heading1"/>
      </w:pPr>
      <w:r>
        <w:rPr>
          <w:color w:val="1B2A3B"/>
        </w:rPr>
        <w:t>7. Marketing &amp; Vertrieb</w:t>
      </w:r>
    </w:p>
    <w:p>
      <w:pPr>
        <w:pBdr>
          <w:bottom w:val="single" w:sz="4" w:space="1" w:color="1B2A3B"/>
        </w:pBdr>
        <w:spacing w:after="200"/>
      </w:pPr>
    </w:p>
    <w:p>
      <w:pPr>
        <w:pStyle w:val="Heading2"/>
      </w:pPr>
      <w:r>
        <w:rPr>
          <w:color w:val="2980B9"/>
        </w:rPr>
        <w:t>7.1 Meilenstein-Roadmap</w:t>
      </w:r>
    </w:p>
    <w:p>
      <w:pPr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16982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98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F8C8D"/>
          <w:sz w:val="18"/>
        </w:rPr>
        <w:t>Abb. 3: Operative Roadmap 2026–2027</w:t>
      </w:r>
    </w:p>
    <w:p>
      <w:pPr>
        <w:pStyle w:val="Heading2"/>
      </w:pPr>
      <w:r>
        <w:rPr>
          <w:color w:val="2980B9"/>
        </w:rPr>
        <w:t>7.2 Phasenplan</w:t>
      </w:r>
    </w:p>
    <w:p>
      <w:pPr>
        <w:shd w:val="clear" w:color="auto" w:fill="1B2A3B"/>
        <w:spacing w:before="160" w:after="40"/>
      </w:pPr>
      <w:r>
        <w:rPr>
          <w:b/>
          <w:color w:val="FFFFFF"/>
          <w:sz w:val="22"/>
        </w:rPr>
        <w:t xml:space="preserve"> Phase 1 — OSS-Launch (Q2–Q3 2026) </w:t>
      </w:r>
    </w:p>
    <w:p>
      <w:pPr>
        <w:pStyle w:val="ListBullet"/>
        <w:ind w:left="360"/>
      </w:pPr>
      <w:r>
        <w:t>GitHub-Veröffentlichung mit README, Demo-GIF und quickstart-Dokumentation</w:t>
      </w:r>
    </w:p>
    <w:p>
      <w:pPr>
        <w:pStyle w:val="ListBullet"/>
        <w:ind w:left="360"/>
      </w:pPr>
      <w:r>
        <w:t>Launch-Beitrag auf Hacker News, Reddit r/selfhosted, Dev.to</w:t>
      </w:r>
    </w:p>
    <w:p>
      <w:pPr>
        <w:pStyle w:val="ListBullet"/>
        <w:ind w:left="360"/>
      </w:pPr>
      <w:r>
        <w:t>Deep Tech Night @ Fraunhofer HHI, Berlin (23.06.2026) — Pitch-Event</w:t>
      </w:r>
    </w:p>
    <w:p>
      <w:pPr>
        <w:pStyle w:val="ListBullet"/>
        <w:ind w:left="360"/>
      </w:pPr>
      <w:r>
        <w:t>Silicon-Allee KI-Accelerator Bewerbung (2 offene Plätze)</w:t>
      </w:r>
    </w:p>
    <w:p>
      <w:pPr>
        <w:pStyle w:val="ListBullet"/>
        <w:ind w:left="360"/>
      </w:pPr>
      <w:r>
        <w:t>Docker Hub Image-Veröffentlichung für maximale Deployment-Einfachheit</w:t>
      </w:r>
    </w:p>
    <w:p>
      <w:pPr>
        <w:shd w:val="clear" w:color="auto" w:fill="1B2A3B"/>
        <w:spacing w:before="160" w:after="40"/>
      </w:pPr>
      <w:r>
        <w:rPr>
          <w:b/>
          <w:color w:val="FFFFFF"/>
          <w:sz w:val="22"/>
        </w:rPr>
        <w:t xml:space="preserve"> Phase 2 — Pro-Konversion (Q4 2026) </w:t>
      </w:r>
    </w:p>
    <w:p>
      <w:pPr>
        <w:pStyle w:val="ListBullet"/>
        <w:ind w:left="360"/>
      </w:pPr>
      <w:r>
        <w:t>E-Mail-Onboarding-Sequenz an GitHub-Stargazer (nach opt-in)</w:t>
      </w:r>
    </w:p>
    <w:p>
      <w:pPr>
        <w:pStyle w:val="ListBullet"/>
        <w:ind w:left="360"/>
      </w:pPr>
      <w:r>
        <w:t>Compliance-Content-Serie: "EU AI Act in der Praxis" (Blog + LinkedIn)</w:t>
      </w:r>
    </w:p>
    <w:p>
      <w:pPr>
        <w:pStyle w:val="ListBullet"/>
        <w:ind w:left="360"/>
      </w:pPr>
      <w:r>
        <w:t>Direktansprache von 50 Pilotunternehmen in regulierten Sektoren</w:t>
      </w:r>
    </w:p>
    <w:p>
      <w:pPr>
        <w:pStyle w:val="ListBullet"/>
        <w:ind w:left="360"/>
      </w:pPr>
      <w:r>
        <w:t>Partnerschaften mit IT-Beratern und Systemintegratoren</w:t>
      </w:r>
    </w:p>
    <w:p>
      <w:pPr>
        <w:shd w:val="clear" w:color="auto" w:fill="1B2A3B"/>
        <w:spacing w:before="160" w:after="40"/>
      </w:pPr>
      <w:r>
        <w:rPr>
          <w:b/>
          <w:color w:val="FFFFFF"/>
          <w:sz w:val="22"/>
        </w:rPr>
        <w:t xml:space="preserve"> Phase 3 — Enterprise-Launch (Q1 2027) </w:t>
      </w:r>
    </w:p>
    <w:p>
      <w:pPr>
        <w:pStyle w:val="ListBullet"/>
        <w:ind w:left="360"/>
      </w:pPr>
      <w:r>
        <w:t>EU AI Act Deadline als zentrales Verkaufsargument (ab August 2026 live)</w:t>
      </w:r>
    </w:p>
    <w:p>
      <w:pPr>
        <w:pStyle w:val="ListBullet"/>
        <w:ind w:left="360"/>
      </w:pPr>
      <w:r>
        <w:t>Compliance-Report-Demo als Lead-Magnet für Entscheider</w:t>
      </w:r>
    </w:p>
    <w:p>
      <w:pPr>
        <w:pStyle w:val="ListBullet"/>
        <w:ind w:left="360"/>
      </w:pPr>
      <w:r>
        <w:t>Partnerkanal: Steuerberatungen, Datenschutzkanzleien, ISO-27001-Auditoren</w:t>
      </w:r>
    </w:p>
    <w:p>
      <w:pPr>
        <w:pStyle w:val="ListBullet"/>
        <w:ind w:left="360"/>
      </w:pPr>
      <w:r>
        <w:t>Zertifizierungspartnerschaft (TÜV, DIN SPEC) für strukturellen Moat</w:t>
      </w:r>
    </w:p>
    <w:p>
      <w:pPr>
        <w:pStyle w:val="Heading2"/>
      </w:pPr>
      <w:r>
        <w:rPr>
          <w:color w:val="2980B9"/>
        </w:rPr>
        <w:t>7.3 Pricing-Strategie</w:t>
      </w:r>
    </w:p>
    <w:p>
      <w:pPr>
        <w:spacing w:before="0" w:after="80"/>
      </w:pPr>
      <w:r>
        <w:rPr>
          <w:b w:val="0"/>
          <w:i w:val="0"/>
        </w:rPr>
        <w:t>€49/Monat (Pro) ist bewusst unter dem Schmerzpunkt für Einzelentscheider gewählt: Als Team-Werkzeug benötigt es keine Vorstandsgenehmigung. Jährliche Abrechnung (€490/Jahr) wird als primäre Option angeboten — verbessert Cashflow und senkt Churn.</w:t>
      </w:r>
    </w:p>
    <w:p>
      <w:pPr>
        <w:spacing w:before="0" w:after="200"/>
      </w:pPr>
      <w:r>
        <w:rPr>
          <w:b w:val="0"/>
          <w:i w:val="0"/>
        </w:rPr>
        <w:t>Enterprise-Preise (€15k–€80k/Jahr) orientieren sich am Compliance-Wert: Ein interner Legal-Audit für EU AI Act Dokumentation kostet typischerweise €20.000–€60.000 einmalig — AtelierOS liefert das kontinuierlich und on-demand.</w:t>
      </w:r>
    </w:p>
    <w:p>
      <w:r>
        <w:br w:type="page"/>
      </w:r>
    </w:p>
    <w:p>
      <w:pPr>
        <w:pStyle w:val="Heading1"/>
      </w:pPr>
      <w:r>
        <w:rPr>
          <w:color w:val="1B2A3B"/>
        </w:rPr>
        <w:t>8. Finanzplanung</w:t>
      </w:r>
    </w:p>
    <w:p>
      <w:pPr>
        <w:pBdr>
          <w:bottom w:val="single" w:sz="4" w:space="1" w:color="1B2A3B"/>
        </w:pBdr>
        <w:spacing w:after="200"/>
      </w:pPr>
    </w:p>
    <w:p>
      <w:pPr>
        <w:pStyle w:val="Heading2"/>
      </w:pPr>
      <w:r>
        <w:rPr>
          <w:color w:val="2980B9"/>
        </w:rPr>
        <w:t>8.1 Prämissen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ECF0F1"/>
          </w:tcPr>
          <w:p>
            <w:r>
              <w:rPr>
                <w:b/>
              </w:rPr>
              <w:t>Pro-Preis</w:t>
            </w:r>
          </w:p>
        </w:tc>
        <w:tc>
          <w:tcPr>
            <w:tcW w:type="dxa" w:w="4536"/>
          </w:tcPr>
          <w:p>
            <w:r>
              <w:t>€49/Monat (Listenpreis), €490/Jahr (Jahrespaket)</w:t>
            </w:r>
          </w:p>
        </w:tc>
      </w:tr>
      <w:tr>
        <w:tc>
          <w:tcPr>
            <w:tcW w:type="dxa" w:w="4536"/>
            <w:shd w:val="clear" w:color="auto" w:fill="ECF0F1"/>
          </w:tcPr>
          <w:p>
            <w:r>
              <w:rPr>
                <w:b/>
              </w:rPr>
              <w:t>Enterprise-Durchschnitt</w:t>
            </w:r>
          </w:p>
        </w:tc>
        <w:tc>
          <w:tcPr>
            <w:tcW w:type="dxa" w:w="4536"/>
          </w:tcPr>
          <w:p>
            <w:r>
              <w:t>€25.000/Jahr (zwischen €15k und €80k)</w:t>
            </w:r>
          </w:p>
        </w:tc>
      </w:tr>
      <w:tr>
        <w:tc>
          <w:tcPr>
            <w:tcW w:type="dxa" w:w="4536"/>
            <w:shd w:val="clear" w:color="auto" w:fill="ECF0F1"/>
          </w:tcPr>
          <w:p>
            <w:r>
              <w:rPr>
                <w:b/>
              </w:rPr>
              <w:t>Churn Rate Pro</w:t>
            </w:r>
          </w:p>
        </w:tc>
        <w:tc>
          <w:tcPr>
            <w:tcW w:type="dxa" w:w="4536"/>
          </w:tcPr>
          <w:p>
            <w:r>
              <w:t>5 %/Monat (konservativ)</w:t>
            </w:r>
          </w:p>
        </w:tc>
      </w:tr>
      <w:tr>
        <w:tc>
          <w:tcPr>
            <w:tcW w:type="dxa" w:w="4536"/>
            <w:shd w:val="clear" w:color="auto" w:fill="ECF0F1"/>
          </w:tcPr>
          <w:p>
            <w:r>
              <w:rPr>
                <w:b/>
              </w:rPr>
              <w:t>Launch-Zeitpunkt</w:t>
            </w:r>
          </w:p>
        </w:tc>
        <w:tc>
          <w:tcPr>
            <w:tcW w:type="dxa" w:w="4536"/>
          </w:tcPr>
          <w:p>
            <w:r>
              <w:t>Monat 3 (nach 2 Monaten Pre-Launch-Vorbereitung)</w:t>
            </w:r>
          </w:p>
        </w:tc>
      </w:tr>
      <w:tr>
        <w:tc>
          <w:tcPr>
            <w:tcW w:type="dxa" w:w="4536"/>
            <w:shd w:val="clear" w:color="auto" w:fill="ECF0F1"/>
          </w:tcPr>
          <w:p>
            <w:r>
              <w:rPr>
                <w:b/>
              </w:rPr>
              <w:t>Enterprise Deal 1</w:t>
            </w:r>
          </w:p>
        </w:tc>
        <w:tc>
          <w:tcPr>
            <w:tcW w:type="dxa" w:w="4536"/>
          </w:tcPr>
          <w:p>
            <w:r>
              <w:t>Monat 6 nach Launch (sechs Monate Sales-Zyklus)</w:t>
            </w:r>
          </w:p>
        </w:tc>
      </w:tr>
      <w:tr>
        <w:tc>
          <w:tcPr>
            <w:tcW w:type="dxa" w:w="4536"/>
            <w:shd w:val="clear" w:color="auto" w:fill="ECF0F1"/>
          </w:tcPr>
          <w:p>
            <w:r>
              <w:rPr>
                <w:b/>
              </w:rPr>
              <w:t>Gründerlohn</w:t>
            </w:r>
          </w:p>
        </w:tc>
        <w:tc>
          <w:tcPr>
            <w:tcW w:type="dxa" w:w="4536"/>
          </w:tcPr>
          <w:p>
            <w:r>
              <w:t>Nicht in Betriebskosten enthalten — aus Unternehmensgewinn ab M8</w:t>
            </w:r>
          </w:p>
        </w:tc>
      </w:tr>
    </w:tbl>
    <w:p>
      <w:pPr>
        <w:pStyle w:val="Heading2"/>
      </w:pPr>
      <w:r>
        <w:rPr>
          <w:color w:val="2980B9"/>
        </w:rPr>
        <w:t>8.2 Umsatzprognose</w:t>
      </w:r>
    </w:p>
    <w:p>
      <w:pPr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040000" cy="27639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enue_foreca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63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F8C8D"/>
          <w:sz w:val="18"/>
        </w:rPr>
        <w:t>Abb. 4: Umsatzprognose Jahre 1–3, aufgeteilt nach Pro- und Enterprise-Tier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B2A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Kennzahl</w:t>
            </w:r>
          </w:p>
        </w:tc>
        <w:tc>
          <w:tcPr>
            <w:tcW w:type="dxa" w:w="2268"/>
            <w:shd w:val="clear" w:color="auto" w:fill="1B2A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Jahr 1</w:t>
            </w:r>
          </w:p>
        </w:tc>
        <w:tc>
          <w:tcPr>
            <w:tcW w:type="dxa" w:w="2268"/>
            <w:shd w:val="clear" w:color="auto" w:fill="1B2A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Jahr 2</w:t>
            </w:r>
          </w:p>
        </w:tc>
        <w:tc>
          <w:tcPr>
            <w:tcW w:type="dxa" w:w="2268"/>
            <w:shd w:val="clear" w:color="auto" w:fill="1B2A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Jahr 3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Pro-Kunden (EOM)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500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Pro-Umsatz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€8.820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€117.600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€294.000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Enterprise-Kunden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Enterprise-Umsatz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€15.000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€100.000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€450.000</w:t>
            </w:r>
          </w:p>
        </w:tc>
      </w:tr>
      <w:tr>
        <w:tc>
          <w:tcPr>
            <w:tcW w:type="dxa" w:w="2268"/>
            <w:shd w:val="clear" w:color="auto" w:fill="D5F5E3"/>
          </w:tcPr>
          <w:p>
            <w:pPr>
              <w:jc w:val="center"/>
            </w:pPr>
            <w:r>
              <w:rPr>
                <w:b/>
              </w:rPr>
              <w:t>Gesamt-Umsatz</w:t>
            </w:r>
          </w:p>
        </w:tc>
        <w:tc>
          <w:tcPr>
            <w:tcW w:type="dxa" w:w="2268"/>
            <w:shd w:val="clear" w:color="auto" w:fill="D5F5E3"/>
          </w:tcPr>
          <w:p>
            <w:pPr>
              <w:jc w:val="center"/>
            </w:pPr>
            <w:r>
              <w:rPr>
                <w:b/>
              </w:rPr>
              <w:t>€23.820</w:t>
            </w:r>
          </w:p>
        </w:tc>
        <w:tc>
          <w:tcPr>
            <w:tcW w:type="dxa" w:w="2268"/>
            <w:shd w:val="clear" w:color="auto" w:fill="D5F5E3"/>
          </w:tcPr>
          <w:p>
            <w:pPr>
              <w:jc w:val="center"/>
            </w:pPr>
            <w:r>
              <w:rPr>
                <w:b/>
              </w:rPr>
              <w:t>€217.600</w:t>
            </w:r>
          </w:p>
        </w:tc>
        <w:tc>
          <w:tcPr>
            <w:tcW w:type="dxa" w:w="2268"/>
            <w:shd w:val="clear" w:color="auto" w:fill="D5F5E3"/>
          </w:tcPr>
          <w:p>
            <w:pPr>
              <w:jc w:val="center"/>
            </w:pPr>
            <w:r>
              <w:rPr>
                <w:b/>
              </w:rPr>
              <w:t>€744.000</w:t>
            </w:r>
          </w:p>
        </w:tc>
      </w:tr>
    </w:tbl>
    <w:p>
      <w:pPr>
        <w:pStyle w:val="Heading2"/>
      </w:pPr>
      <w:r>
        <w:rPr>
          <w:color w:val="2980B9"/>
        </w:rPr>
        <w:t>8.3 Kostenplanung</w:t>
      </w:r>
    </w:p>
    <w:p>
      <w:pPr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3240000" cy="31125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st_breakdow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112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F8C8D"/>
          <w:sz w:val="18"/>
        </w:rPr>
        <w:t>Abb. 5: Monatliche Kostenstruktur im ersten Jahr (Total: €810/Monat)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B2A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Position</w:t>
            </w:r>
          </w:p>
        </w:tc>
        <w:tc>
          <w:tcPr>
            <w:tcW w:type="dxa" w:w="3024"/>
            <w:shd w:val="clear" w:color="auto" w:fill="1B2A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Jahr 1 (€/Mo.)</w:t>
            </w:r>
          </w:p>
        </w:tc>
        <w:tc>
          <w:tcPr>
            <w:tcW w:type="dxa" w:w="3024"/>
            <w:shd w:val="clear" w:color="auto" w:fill="1B2A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Jahr 3 (€/Mo.)</w:t>
            </w:r>
          </w:p>
        </w:tc>
      </w:tr>
      <w:tr>
        <w:tc>
          <w:tcPr>
            <w:tcW w:type="dxa" w:w="3024"/>
          </w:tcPr>
          <w:p>
            <w:r>
              <w:rPr>
                <w:b/>
              </w:rPr>
              <w:t>Server / Infra (Hetzner EU)</w:t>
            </w:r>
          </w:p>
        </w:tc>
        <w:tc>
          <w:tcPr>
            <w:tcW w:type="dxa" w:w="3024"/>
          </w:tcPr>
          <w:p>
            <w:r>
              <w:t>€80</w:t>
            </w:r>
          </w:p>
        </w:tc>
        <w:tc>
          <w:tcPr>
            <w:tcW w:type="dxa" w:w="3024"/>
          </w:tcPr>
          <w:p>
            <w:r>
              <w:t>€500</w:t>
            </w:r>
          </w:p>
        </w:tc>
      </w:tr>
      <w:tr>
        <w:tc>
          <w:tcPr>
            <w:tcW w:type="dxa" w:w="3024"/>
          </w:tcPr>
          <w:p>
            <w:r>
              <w:rPr>
                <w:b/>
              </w:rPr>
              <w:t>API-Kosten (Anthropic/Modelle)</w:t>
            </w:r>
          </w:p>
        </w:tc>
        <w:tc>
          <w:tcPr>
            <w:tcW w:type="dxa" w:w="3024"/>
          </w:tcPr>
          <w:p>
            <w:r>
              <w:t>€300</w:t>
            </w:r>
          </w:p>
        </w:tc>
        <w:tc>
          <w:tcPr>
            <w:tcW w:type="dxa" w:w="3024"/>
          </w:tcPr>
          <w:p>
            <w:r>
              <w:t>€3.000</w:t>
            </w:r>
          </w:p>
        </w:tc>
      </w:tr>
      <w:tr>
        <w:tc>
          <w:tcPr>
            <w:tcW w:type="dxa" w:w="3024"/>
          </w:tcPr>
          <w:p>
            <w:r>
              <w:rPr>
                <w:b/>
              </w:rPr>
              <w:t>Steuerberater / Buchhaltung</w:t>
            </w:r>
          </w:p>
        </w:tc>
        <w:tc>
          <w:tcPr>
            <w:tcW w:type="dxa" w:w="3024"/>
          </w:tcPr>
          <w:p>
            <w:r>
              <w:t>€150</w:t>
            </w:r>
          </w:p>
        </w:tc>
        <w:tc>
          <w:tcPr>
            <w:tcW w:type="dxa" w:w="3024"/>
          </w:tcPr>
          <w:p>
            <w:r>
              <w:t>€400</w:t>
            </w:r>
          </w:p>
        </w:tc>
      </w:tr>
      <w:tr>
        <w:tc>
          <w:tcPr>
            <w:tcW w:type="dxa" w:w="3024"/>
          </w:tcPr>
          <w:p>
            <w:r>
              <w:rPr>
                <w:b/>
              </w:rPr>
              <w:t>Software-Tools (GitHub, etc.)</w:t>
            </w:r>
          </w:p>
        </w:tc>
        <w:tc>
          <w:tcPr>
            <w:tcW w:type="dxa" w:w="3024"/>
          </w:tcPr>
          <w:p>
            <w:r>
              <w:t>€80</w:t>
            </w:r>
          </w:p>
        </w:tc>
        <w:tc>
          <w:tcPr>
            <w:tcW w:type="dxa" w:w="3024"/>
          </w:tcPr>
          <w:p>
            <w:r>
              <w:t>€200</w:t>
            </w:r>
          </w:p>
        </w:tc>
      </w:tr>
      <w:tr>
        <w:tc>
          <w:tcPr>
            <w:tcW w:type="dxa" w:w="3024"/>
          </w:tcPr>
          <w:p>
            <w:r>
              <w:rPr>
                <w:b/>
              </w:rPr>
              <w:t>Marketing / Content</w:t>
            </w:r>
          </w:p>
        </w:tc>
        <w:tc>
          <w:tcPr>
            <w:tcW w:type="dxa" w:w="3024"/>
          </w:tcPr>
          <w:p>
            <w:r>
              <w:t>€200</w:t>
            </w:r>
          </w:p>
        </w:tc>
        <w:tc>
          <w:tcPr>
            <w:tcW w:type="dxa" w:w="3024"/>
          </w:tcPr>
          <w:p>
            <w:r>
              <w:t>€2.000</w:t>
            </w:r>
          </w:p>
        </w:tc>
      </w:tr>
    </w:tbl>
    <w:p>
      <w:pPr>
        <w:spacing w:before="0" w:after="80"/>
      </w:pPr>
    </w:p>
    <w:p>
      <w:r>
        <w:rPr>
          <w:b/>
        </w:rPr>
        <w:t xml:space="preserve">Gesamt Fixkosten Jahr 1: </w:t>
      </w:r>
      <w:r>
        <w:rPr>
          <w:b/>
          <w:color w:val="2980B9"/>
        </w:rPr>
        <w:t>€810/Monat  |  €9.720/Jahr</w:t>
      </w:r>
    </w:p>
    <w:p>
      <w:r>
        <w:br w:type="page"/>
      </w:r>
    </w:p>
    <w:p>
      <w:pPr>
        <w:pStyle w:val="Heading2"/>
      </w:pPr>
      <w:r>
        <w:rPr>
          <w:color w:val="2980B9"/>
        </w:rPr>
        <w:t>8.4 Rentabilitätsvorschau</w:t>
      </w:r>
    </w:p>
    <w:p>
      <w:pPr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4680000" cy="25952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ntabilitae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95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F8C8D"/>
          <w:sz w:val="18"/>
        </w:rPr>
        <w:t>Abb. 6: Rentabilitätsvorschau Jahre 1–3 (Umsatz, Betriebskosten, Gewinn vor Steuern)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B2A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268"/>
            <w:shd w:val="clear" w:color="auto" w:fill="1B2A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Jahr 1</w:t>
            </w:r>
          </w:p>
        </w:tc>
        <w:tc>
          <w:tcPr>
            <w:tcW w:type="dxa" w:w="2268"/>
            <w:shd w:val="clear" w:color="auto" w:fill="1B2A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Jahr 2</w:t>
            </w:r>
          </w:p>
        </w:tc>
        <w:tc>
          <w:tcPr>
            <w:tcW w:type="dxa" w:w="2268"/>
            <w:shd w:val="clear" w:color="auto" w:fill="1B2A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Jahr 3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Umsatz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€23.820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€217.600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€744.000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Betriebskosten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€10.450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€48.000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€130.000</w:t>
            </w:r>
          </w:p>
        </w:tc>
      </w:tr>
      <w:tr>
        <w:tc>
          <w:tcPr>
            <w:tcW w:type="dxa" w:w="2268"/>
            <w:shd w:val="clear" w:color="auto" w:fill="D5F5E3"/>
          </w:tcPr>
          <w:p>
            <w:pPr>
              <w:jc w:val="center"/>
            </w:pPr>
            <w:r>
              <w:rPr>
                <w:b/>
                <w:color w:val="27AE60"/>
              </w:rPr>
              <w:t>Gewinn vor Steuern</w:t>
            </w:r>
          </w:p>
        </w:tc>
        <w:tc>
          <w:tcPr>
            <w:tcW w:type="dxa" w:w="2268"/>
            <w:shd w:val="clear" w:color="auto" w:fill="D5F5E3"/>
          </w:tcPr>
          <w:p>
            <w:pPr>
              <w:jc w:val="center"/>
            </w:pPr>
            <w:r>
              <w:rPr>
                <w:b/>
                <w:color w:val="27AE60"/>
              </w:rPr>
              <w:t>€13.370</w:t>
            </w:r>
          </w:p>
        </w:tc>
        <w:tc>
          <w:tcPr>
            <w:tcW w:type="dxa" w:w="2268"/>
            <w:shd w:val="clear" w:color="auto" w:fill="D5F5E3"/>
          </w:tcPr>
          <w:p>
            <w:pPr>
              <w:jc w:val="center"/>
            </w:pPr>
            <w:r>
              <w:rPr>
                <w:b/>
                <w:color w:val="27AE60"/>
              </w:rPr>
              <w:t>€169.600</w:t>
            </w:r>
          </w:p>
        </w:tc>
        <w:tc>
          <w:tcPr>
            <w:tcW w:type="dxa" w:w="2268"/>
            <w:shd w:val="clear" w:color="auto" w:fill="D5F5E3"/>
          </w:tcPr>
          <w:p>
            <w:pPr>
              <w:jc w:val="center"/>
            </w:pPr>
            <w:r>
              <w:rPr>
                <w:b/>
                <w:color w:val="27AE60"/>
              </w:rPr>
              <w:t>€614.000</w:t>
            </w:r>
          </w:p>
        </w:tc>
      </w:tr>
    </w:tbl>
    <w:p>
      <w:pPr>
        <w:spacing w:before="200" w:after="80"/>
      </w:pPr>
    </w:p>
    <w:p>
      <w:pPr>
        <w:pStyle w:val="Heading2"/>
      </w:pPr>
      <w:r>
        <w:rPr>
          <w:color w:val="2980B9"/>
        </w:rPr>
        <w:t>8.5 Liquiditätsplan – Monat 1 bis 12</w:t>
      </w:r>
    </w:p>
    <w:p>
      <w:pPr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242600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hflow_monthl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26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F8C8D"/>
          <w:sz w:val="18"/>
        </w:rPr>
        <w:t>Abb. 7: Monatlicher Liquiditätsplan Jahr 1. Grün = Enterprise-Einnahmen ab Monat 6. Break-Even in Monat 8.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B2A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Monat</w:t>
            </w:r>
          </w:p>
        </w:tc>
        <w:tc>
          <w:tcPr>
            <w:tcW w:type="dxa" w:w="1814"/>
            <w:shd w:val="clear" w:color="auto" w:fill="1B2A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Einnahmen (€)</w:t>
            </w:r>
          </w:p>
        </w:tc>
        <w:tc>
          <w:tcPr>
            <w:tcW w:type="dxa" w:w="1814"/>
            <w:shd w:val="clear" w:color="auto" w:fill="1B2A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Ausgaben (€)</w:t>
            </w:r>
          </w:p>
        </w:tc>
        <w:tc>
          <w:tcPr>
            <w:tcW w:type="dxa" w:w="1814"/>
            <w:shd w:val="clear" w:color="auto" w:fill="1B2A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Netto (€)</w:t>
            </w:r>
          </w:p>
        </w:tc>
        <w:tc>
          <w:tcPr>
            <w:tcW w:type="dxa" w:w="1814"/>
            <w:shd w:val="clear" w:color="auto" w:fill="1B2A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Kumulativ (€)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>
              <w:t>M1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t>1.200</w:t>
            </w:r>
          </w:p>
        </w:tc>
        <w:tc>
          <w:tcPr>
            <w:tcW w:type="dxa" w:w="1814"/>
            <w:shd w:val="clear" w:color="auto" w:fill="FDEDEC"/>
          </w:tcPr>
          <w:p>
            <w:pPr>
              <w:jc w:val="center"/>
            </w:pPr>
            <w:r>
              <w:t>-1.200</w:t>
            </w:r>
          </w:p>
        </w:tc>
        <w:tc>
          <w:tcPr>
            <w:tcW w:type="dxa" w:w="1814"/>
            <w:shd w:val="clear" w:color="auto" w:fill="FDEDEC"/>
          </w:tcPr>
          <w:p>
            <w:pPr>
              <w:jc w:val="center"/>
            </w:pPr>
            <w:r>
              <w:t>-1.200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>
              <w:t>M2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t>900</w:t>
            </w:r>
          </w:p>
        </w:tc>
        <w:tc>
          <w:tcPr>
            <w:tcW w:type="dxa" w:w="1814"/>
            <w:shd w:val="clear" w:color="auto" w:fill="FDEDEC"/>
          </w:tcPr>
          <w:p>
            <w:pPr>
              <w:jc w:val="center"/>
            </w:pPr>
            <w:r>
              <w:t>-900</w:t>
            </w:r>
          </w:p>
        </w:tc>
        <w:tc>
          <w:tcPr>
            <w:tcW w:type="dxa" w:w="1814"/>
            <w:shd w:val="clear" w:color="auto" w:fill="FDEDEC"/>
          </w:tcPr>
          <w:p>
            <w:pPr>
              <w:jc w:val="center"/>
            </w:pPr>
            <w:r>
              <w:t>-2.100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>
              <w:t>M3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t>245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t>850</w:t>
            </w:r>
          </w:p>
        </w:tc>
        <w:tc>
          <w:tcPr>
            <w:tcW w:type="dxa" w:w="1814"/>
            <w:shd w:val="clear" w:color="auto" w:fill="FDEDEC"/>
          </w:tcPr>
          <w:p>
            <w:pPr>
              <w:jc w:val="center"/>
            </w:pPr>
            <w:r>
              <w:t>-605</w:t>
            </w:r>
          </w:p>
        </w:tc>
        <w:tc>
          <w:tcPr>
            <w:tcW w:type="dxa" w:w="1814"/>
            <w:shd w:val="clear" w:color="auto" w:fill="FDEDEC"/>
          </w:tcPr>
          <w:p>
            <w:pPr>
              <w:jc w:val="center"/>
            </w:pPr>
            <w:r>
              <w:t>-2.705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>
              <w:t>M4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t>490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t>860</w:t>
            </w:r>
          </w:p>
        </w:tc>
        <w:tc>
          <w:tcPr>
            <w:tcW w:type="dxa" w:w="1814"/>
            <w:shd w:val="clear" w:color="auto" w:fill="FDEDEC"/>
          </w:tcPr>
          <w:p>
            <w:pPr>
              <w:jc w:val="center"/>
            </w:pPr>
            <w:r>
              <w:t>-370</w:t>
            </w:r>
          </w:p>
        </w:tc>
        <w:tc>
          <w:tcPr>
            <w:tcW w:type="dxa" w:w="1814"/>
            <w:shd w:val="clear" w:color="auto" w:fill="FDEDEC"/>
          </w:tcPr>
          <w:p>
            <w:pPr>
              <w:jc w:val="center"/>
            </w:pPr>
            <w:r>
              <w:t>-3.075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>
              <w:t>M5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t>735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t>870</w:t>
            </w:r>
          </w:p>
        </w:tc>
        <w:tc>
          <w:tcPr>
            <w:tcW w:type="dxa" w:w="1814"/>
            <w:shd w:val="clear" w:color="auto" w:fill="FDEDEC"/>
          </w:tcPr>
          <w:p>
            <w:pPr>
              <w:jc w:val="center"/>
            </w:pPr>
            <w:r>
              <w:t>-135</w:t>
            </w:r>
          </w:p>
        </w:tc>
        <w:tc>
          <w:tcPr>
            <w:tcW w:type="dxa" w:w="1814"/>
            <w:shd w:val="clear" w:color="auto" w:fill="FDEDEC"/>
          </w:tcPr>
          <w:p>
            <w:pPr>
              <w:jc w:val="center"/>
            </w:pPr>
            <w:r>
              <w:t>-3.210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>
              <w:t>M6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t>2.230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t>900</w:t>
            </w:r>
          </w:p>
        </w:tc>
        <w:tc>
          <w:tcPr>
            <w:tcW w:type="dxa" w:w="1814"/>
            <w:shd w:val="clear" w:color="auto" w:fill="EAFAF1"/>
          </w:tcPr>
          <w:p>
            <w:pPr>
              <w:jc w:val="center"/>
            </w:pPr>
            <w:r>
              <w:t>+1.330</w:t>
            </w:r>
          </w:p>
        </w:tc>
        <w:tc>
          <w:tcPr>
            <w:tcW w:type="dxa" w:w="1814"/>
            <w:shd w:val="clear" w:color="auto" w:fill="EAFAF1"/>
          </w:tcPr>
          <w:p>
            <w:pPr>
              <w:jc w:val="center"/>
            </w:pPr>
            <w:r>
              <w:t>-1.880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>
              <w:t>M7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t>2.328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t>920</w:t>
            </w:r>
          </w:p>
        </w:tc>
        <w:tc>
          <w:tcPr>
            <w:tcW w:type="dxa" w:w="1814"/>
            <w:shd w:val="clear" w:color="auto" w:fill="EAFAF1"/>
          </w:tcPr>
          <w:p>
            <w:pPr>
              <w:jc w:val="center"/>
            </w:pPr>
            <w:r>
              <w:t>+1.408</w:t>
            </w:r>
          </w:p>
        </w:tc>
        <w:tc>
          <w:tcPr>
            <w:tcW w:type="dxa" w:w="1814"/>
            <w:shd w:val="clear" w:color="auto" w:fill="EAFAF1"/>
          </w:tcPr>
          <w:p>
            <w:pPr>
              <w:jc w:val="center"/>
            </w:pPr>
            <w:r>
              <w:t>-472</w:t>
            </w:r>
          </w:p>
        </w:tc>
      </w:tr>
      <w:tr>
        <w:tc>
          <w:tcPr>
            <w:tcW w:type="dxa" w:w="1814"/>
            <w:shd w:val="clear" w:color="auto" w:fill="D5F5E3"/>
          </w:tcPr>
          <w:p>
            <w:pPr>
              <w:jc w:val="center"/>
            </w:pPr>
            <w:r>
              <w:t>M8</w:t>
            </w:r>
          </w:p>
        </w:tc>
        <w:tc>
          <w:tcPr>
            <w:tcW w:type="dxa" w:w="1814"/>
            <w:shd w:val="clear" w:color="auto" w:fill="D5F5E3"/>
          </w:tcPr>
          <w:p>
            <w:pPr>
              <w:jc w:val="center"/>
            </w:pPr>
            <w:r>
              <w:t>2.475</w:t>
            </w:r>
          </w:p>
        </w:tc>
        <w:tc>
          <w:tcPr>
            <w:tcW w:type="dxa" w:w="1814"/>
            <w:shd w:val="clear" w:color="auto" w:fill="D5F5E3"/>
          </w:tcPr>
          <w:p>
            <w:pPr>
              <w:jc w:val="center"/>
            </w:pPr>
            <w:r>
              <w:t>950</w:t>
            </w:r>
          </w:p>
        </w:tc>
        <w:tc>
          <w:tcPr>
            <w:tcW w:type="dxa" w:w="1814"/>
            <w:shd w:val="clear" w:color="auto" w:fill="D5F5E3"/>
          </w:tcPr>
          <w:p>
            <w:pPr>
              <w:jc w:val="center"/>
            </w:pPr>
            <w:r>
              <w:t>+1.525</w:t>
            </w:r>
          </w:p>
        </w:tc>
        <w:tc>
          <w:tcPr>
            <w:tcW w:type="dxa" w:w="1814"/>
            <w:shd w:val="clear" w:color="auto" w:fill="D5F5E3"/>
          </w:tcPr>
          <w:p>
            <w:pPr>
              <w:jc w:val="center"/>
            </w:pPr>
            <w:r>
              <w:t>+1.053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>
              <w:t>M9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t>2.573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t>970</w:t>
            </w:r>
          </w:p>
        </w:tc>
        <w:tc>
          <w:tcPr>
            <w:tcW w:type="dxa" w:w="1814"/>
            <w:shd w:val="clear" w:color="auto" w:fill="EAFAF1"/>
          </w:tcPr>
          <w:p>
            <w:pPr>
              <w:jc w:val="center"/>
            </w:pPr>
            <w:r>
              <w:t>+1.603</w:t>
            </w:r>
          </w:p>
        </w:tc>
        <w:tc>
          <w:tcPr>
            <w:tcW w:type="dxa" w:w="1814"/>
            <w:shd w:val="clear" w:color="auto" w:fill="EAFAF1"/>
          </w:tcPr>
          <w:p>
            <w:pPr>
              <w:jc w:val="center"/>
            </w:pPr>
            <w:r>
              <w:t>+2.656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>
              <w:t>M10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t>2.622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t>990</w:t>
            </w:r>
          </w:p>
        </w:tc>
        <w:tc>
          <w:tcPr>
            <w:tcW w:type="dxa" w:w="1814"/>
            <w:shd w:val="clear" w:color="auto" w:fill="EAFAF1"/>
          </w:tcPr>
          <w:p>
            <w:pPr>
              <w:jc w:val="center"/>
            </w:pPr>
            <w:r>
              <w:t>+1.632</w:t>
            </w:r>
          </w:p>
        </w:tc>
        <w:tc>
          <w:tcPr>
            <w:tcW w:type="dxa" w:w="1814"/>
            <w:shd w:val="clear" w:color="auto" w:fill="EAFAF1"/>
          </w:tcPr>
          <w:p>
            <w:pPr>
              <w:jc w:val="center"/>
            </w:pPr>
            <w:r>
              <w:t>+4.288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>
              <w:t>M11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t>2.671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t>1.010</w:t>
            </w:r>
          </w:p>
        </w:tc>
        <w:tc>
          <w:tcPr>
            <w:tcW w:type="dxa" w:w="1814"/>
            <w:shd w:val="clear" w:color="auto" w:fill="EAFAF1"/>
          </w:tcPr>
          <w:p>
            <w:pPr>
              <w:jc w:val="center"/>
            </w:pPr>
            <w:r>
              <w:t>+1.661</w:t>
            </w:r>
          </w:p>
        </w:tc>
        <w:tc>
          <w:tcPr>
            <w:tcW w:type="dxa" w:w="1814"/>
            <w:shd w:val="clear" w:color="auto" w:fill="EAFAF1"/>
          </w:tcPr>
          <w:p>
            <w:pPr>
              <w:jc w:val="center"/>
            </w:pPr>
            <w:r>
              <w:t>+5.949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>
              <w:t>M12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t>2.720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t>1.030</w:t>
            </w:r>
          </w:p>
        </w:tc>
        <w:tc>
          <w:tcPr>
            <w:tcW w:type="dxa" w:w="1814"/>
            <w:shd w:val="clear" w:color="auto" w:fill="EAFAF1"/>
          </w:tcPr>
          <w:p>
            <w:pPr>
              <w:jc w:val="center"/>
            </w:pPr>
            <w:r>
              <w:t>+1.690</w:t>
            </w:r>
          </w:p>
        </w:tc>
        <w:tc>
          <w:tcPr>
            <w:tcW w:type="dxa" w:w="1814"/>
            <w:shd w:val="clear" w:color="auto" w:fill="EAFAF1"/>
          </w:tcPr>
          <w:p>
            <w:pPr>
              <w:jc w:val="center"/>
            </w:pPr>
            <w:r>
              <w:t>+7.639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2980B9"/>
        </w:rPr>
        <w:t>8.6 Break-Even-Analyse</w:t>
      </w:r>
    </w:p>
    <w:p>
      <w:pPr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040000" cy="27702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eakeve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70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F8C8D"/>
          <w:sz w:val="18"/>
        </w:rPr>
        <w:t>Abb. 8: Kumulierter Umsatz vs. Kosten. Break-Even im 8. Betriebsmonat bei ca. €3.210 Gesamtinvestition.</w:t>
      </w:r>
    </w:p>
    <w:p>
      <w:pPr>
        <w:pStyle w:val="Heading2"/>
      </w:pPr>
      <w:r>
        <w:rPr>
          <w:color w:val="2980B9"/>
        </w:rPr>
        <w:t>8.7 Kapitalbedarf &amp; Finanzierung</w:t>
      </w:r>
    </w:p>
    <w:p>
      <w:pPr>
        <w:spacing w:before="0" w:after="120"/>
      </w:pPr>
      <w:r>
        <w:rPr>
          <w:b w:val="0"/>
          <w:i w:val="0"/>
        </w:rPr>
        <w:t>Der maximale Kapitalbedarf beträgt €3.210 (kumuliertes Defizit bis Monat 5). Dieser Betrag ist aus eigenen Mitteln oder über das Einstiegsgeld (§ 16b SGB II) finanzierbar. Ein KfW-Startgeld ist optional verfügbar, aber nicht erforderlich.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B2A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Quelle</w:t>
            </w:r>
          </w:p>
        </w:tc>
        <w:tc>
          <w:tcPr>
            <w:tcW w:type="dxa" w:w="3024"/>
            <w:shd w:val="clear" w:color="auto" w:fill="1B2A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Betrag</w:t>
            </w:r>
          </w:p>
        </w:tc>
        <w:tc>
          <w:tcPr>
            <w:tcW w:type="dxa" w:w="3024"/>
            <w:shd w:val="clear" w:color="auto" w:fill="1B2A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Zweck</w:t>
            </w:r>
          </w:p>
        </w:tc>
      </w:tr>
      <w:tr>
        <w:tc>
          <w:tcPr>
            <w:tcW w:type="dxa" w:w="3024"/>
          </w:tcPr>
          <w:p>
            <w:r>
              <w:rPr>
                <w:b/>
              </w:rPr>
              <w:t>Eigenmittel / Erspartes</w:t>
            </w:r>
          </w:p>
        </w:tc>
        <w:tc>
          <w:tcPr>
            <w:tcW w:type="dxa" w:w="3024"/>
          </w:tcPr>
          <w:p>
            <w:r>
              <w:t>€3.000</w:t>
            </w:r>
          </w:p>
        </w:tc>
        <w:tc>
          <w:tcPr>
            <w:tcW w:type="dxa" w:w="3024"/>
          </w:tcPr>
          <w:p>
            <w:r>
              <w:t>Überbrückung bis Break-Even (Monat 8)</w:t>
            </w:r>
          </w:p>
        </w:tc>
      </w:tr>
      <w:tr>
        <w:tc>
          <w:tcPr>
            <w:tcW w:type="dxa" w:w="3024"/>
          </w:tcPr>
          <w:p>
            <w:r>
              <w:rPr>
                <w:b/>
              </w:rPr>
              <w:t>Einstiegsgeld (Jobcenter, §16b SGB II)</w:t>
            </w:r>
          </w:p>
        </w:tc>
        <w:tc>
          <w:tcPr>
            <w:tcW w:type="dxa" w:w="3024"/>
          </w:tcPr>
          <w:p>
            <w:r>
              <w:t>€200–300/Mo.</w:t>
            </w:r>
          </w:p>
        </w:tc>
        <w:tc>
          <w:tcPr>
            <w:tcW w:type="dxa" w:w="3024"/>
          </w:tcPr>
          <w:p>
            <w:r>
              <w:t>Monatlicher Zuschuss für bis zu 24 Monate</w:t>
            </w:r>
          </w:p>
        </w:tc>
      </w:tr>
      <w:tr>
        <w:tc>
          <w:tcPr>
            <w:tcW w:type="dxa" w:w="3024"/>
          </w:tcPr>
          <w:p>
            <w:r>
              <w:rPr>
                <w:b/>
              </w:rPr>
              <w:t>KfW-Startgeld (optional)</w:t>
            </w:r>
          </w:p>
        </w:tc>
        <w:tc>
          <w:tcPr>
            <w:tcW w:type="dxa" w:w="3024"/>
          </w:tcPr>
          <w:p>
            <w:r>
              <w:t>bis €25.000</w:t>
            </w:r>
          </w:p>
        </w:tc>
        <w:tc>
          <w:tcPr>
            <w:tcW w:type="dxa" w:w="3024"/>
          </w:tcPr>
          <w:p>
            <w:r>
              <w:t>Puffer für Marketinginvestitionen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2A3B"/>
        </w:rPr>
        <w:t>9. Risiken &amp; Gegenmaßnahmen</w:t>
      </w:r>
    </w:p>
    <w:p>
      <w:pPr>
        <w:pBdr>
          <w:bottom w:val="single" w:sz="4" w:space="1" w:color="1B2A3B"/>
        </w:pBdr>
        <w:spacing w:after="200"/>
      </w:pPr>
    </w:p>
    <w:p>
      <w:pPr>
        <w:pStyle w:val="Heading2"/>
      </w:pPr>
      <w:r>
        <w:rPr>
          <w:color w:val="2980B9"/>
        </w:rPr>
        <w:t>9.1 Risikoanalyse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B2A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Risiko</w:t>
            </w:r>
          </w:p>
        </w:tc>
        <w:tc>
          <w:tcPr>
            <w:tcW w:type="dxa" w:w="2268"/>
            <w:shd w:val="clear" w:color="auto" w:fill="1B2A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Eintritts-Wkt.</w:t>
            </w:r>
          </w:p>
        </w:tc>
        <w:tc>
          <w:tcPr>
            <w:tcW w:type="dxa" w:w="2268"/>
            <w:shd w:val="clear" w:color="auto" w:fill="1B2A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Auswirkung</w:t>
            </w:r>
          </w:p>
        </w:tc>
        <w:tc>
          <w:tcPr>
            <w:tcW w:type="dxa" w:w="2268"/>
            <w:shd w:val="clear" w:color="auto" w:fill="1B2A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Gegenmaßnahme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EU AI Act Verzögerung</w:t>
            </w:r>
          </w:p>
        </w:tc>
        <w:tc>
          <w:tcPr>
            <w:tcW w:type="dxa" w:w="2268"/>
            <w:shd w:val="clear" w:color="auto" w:fill="FEF9E7"/>
          </w:tcPr>
          <w:p>
            <w:r>
              <w:t>Mittel</w:t>
            </w:r>
          </w:p>
        </w:tc>
        <w:tc>
          <w:tcPr>
            <w:tcW w:type="dxa" w:w="2268"/>
          </w:tcPr>
          <w:p>
            <w:r>
              <w:t>Enterprise-Pipeline verzögert</w:t>
            </w:r>
          </w:p>
        </w:tc>
        <w:tc>
          <w:tcPr>
            <w:tcW w:type="dxa" w:w="2268"/>
          </w:tcPr>
          <w:p>
            <w:r>
              <w:t>DSGVO-Compliance als alternativer Pitch-Winkel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Großer Wettbewerber kopiert Feature</w:t>
            </w:r>
          </w:p>
        </w:tc>
        <w:tc>
          <w:tcPr>
            <w:tcW w:type="dxa" w:w="2268"/>
            <w:shd w:val="clear" w:color="auto" w:fill="D5F5E3"/>
          </w:tcPr>
          <w:p>
            <w:r>
              <w:t>Niedrig</w:t>
            </w:r>
          </w:p>
        </w:tc>
        <w:tc>
          <w:tcPr>
            <w:tcW w:type="dxa" w:w="2268"/>
          </w:tcPr>
          <w:p>
            <w:r>
              <w:t>Preisdruck</w:t>
            </w:r>
          </w:p>
        </w:tc>
        <w:tc>
          <w:tcPr>
            <w:tcW w:type="dxa" w:w="2268"/>
          </w:tcPr>
          <w:p>
            <w:r>
              <w:t>Strukturelle Tiefe + Zertifizierungspartner als Moat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OSS-Community wächst nicht</w:t>
            </w:r>
          </w:p>
        </w:tc>
        <w:tc>
          <w:tcPr>
            <w:tcW w:type="dxa" w:w="2268"/>
            <w:shd w:val="clear" w:color="auto" w:fill="FEF9E7"/>
          </w:tcPr>
          <w:p>
            <w:r>
              <w:t>Mittel</w:t>
            </w:r>
          </w:p>
        </w:tc>
        <w:tc>
          <w:tcPr>
            <w:tcW w:type="dxa" w:w="2268"/>
          </w:tcPr>
          <w:p>
            <w:r>
              <w:t>Langsamere Pro-Konversion</w:t>
            </w:r>
          </w:p>
        </w:tc>
        <w:tc>
          <w:tcPr>
            <w:tcW w:type="dxa" w:w="2268"/>
          </w:tcPr>
          <w:p>
            <w:r>
              <w:t>Enterprise-Direktakquise als primären Kanal aufbauen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API-Kosten steigen stark (Anthropic)</w:t>
            </w:r>
          </w:p>
        </w:tc>
        <w:tc>
          <w:tcPr>
            <w:tcW w:type="dxa" w:w="2268"/>
            <w:shd w:val="clear" w:color="auto" w:fill="D5F5E3"/>
          </w:tcPr>
          <w:p>
            <w:r>
              <w:t>Niedrig</w:t>
            </w:r>
          </w:p>
        </w:tc>
        <w:tc>
          <w:tcPr>
            <w:tcW w:type="dxa" w:w="2268"/>
          </w:tcPr>
          <w:p>
            <w:r>
              <w:t>Margenreduktion</w:t>
            </w:r>
          </w:p>
        </w:tc>
        <w:tc>
          <w:tcPr>
            <w:tcW w:type="dxa" w:w="2268"/>
          </w:tcPr>
          <w:p>
            <w:r>
              <w:t>Lokale Modelle (Ollama) bereits nativ integriert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Solo-Gründer Krankheit / Ausfall</w:t>
            </w:r>
          </w:p>
        </w:tc>
        <w:tc>
          <w:tcPr>
            <w:tcW w:type="dxa" w:w="2268"/>
            <w:shd w:val="clear" w:color="auto" w:fill="D5F5E3"/>
          </w:tcPr>
          <w:p>
            <w:r>
              <w:t>Niedrig</w:t>
            </w:r>
          </w:p>
        </w:tc>
        <w:tc>
          <w:tcPr>
            <w:tcW w:type="dxa" w:w="2268"/>
          </w:tcPr>
          <w:p>
            <w:r>
              <w:t>Betriebsunterbrechung</w:t>
            </w:r>
          </w:p>
        </w:tc>
        <w:tc>
          <w:tcPr>
            <w:tcW w:type="dxa" w:w="2268"/>
          </w:tcPr>
          <w:p>
            <w:r>
              <w:t>Docker-Stack läuft autonom; Dokumentation komplett</w:t>
            </w:r>
          </w:p>
        </w:tc>
      </w:tr>
    </w:tbl>
    <w:p>
      <w:pPr>
        <w:spacing w:before="200" w:after="80"/>
      </w:pPr>
    </w:p>
    <w:p>
      <w:pPr>
        <w:pStyle w:val="Heading2"/>
      </w:pPr>
      <w:r>
        <w:rPr>
          <w:color w:val="2980B9"/>
        </w:rPr>
        <w:t>9.2 SWOT-Analyse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AFAFA"/>
          </w:tcPr>
          <w:p>
            <w:r>
              <w:rPr>
                <w:b/>
                <w:color w:val="27AE60"/>
              </w:rPr>
              <w:t>Stärken (Strengths)</w:t>
              <w:br/>
            </w:r>
          </w:p>
          <w:p>
            <w:r>
              <w:rPr>
                <w:sz w:val="18"/>
              </w:rPr>
              <w:t>• Produkt fertig &amp; produktionserprobt</w:t>
              <w:br/>
              <w:t>• Strukturelle EU-AI-Act-Compliance</w:t>
              <w:br/>
              <w:t>• Solo — kein Overhead, schnelle Iteration</w:t>
              <w:br/>
              <w:t>• Technische Tiefe (38 Layer)</w:t>
            </w:r>
          </w:p>
        </w:tc>
        <w:tc>
          <w:tcPr>
            <w:tcW w:type="dxa" w:w="4536"/>
            <w:shd w:val="clear" w:color="auto" w:fill="FAFAFA"/>
          </w:tcPr>
          <w:p>
            <w:r>
              <w:rPr>
                <w:b/>
                <w:color w:val="E67E22"/>
              </w:rPr>
              <w:t>Schwächen (Weaknesses)</w:t>
              <w:br/>
            </w:r>
          </w:p>
          <w:p>
            <w:r>
              <w:rPr>
                <w:sz w:val="18"/>
              </w:rPr>
              <w:t>• Solo-Gründer → Engpass bei Skalierung</w:t>
              <w:br/>
              <w:t>• Keine Markenbekanntheit</w:t>
              <w:br/>
              <w:t>• Enterprise-Vertrieb erfordert Zeit</w:t>
            </w:r>
          </w:p>
        </w:tc>
      </w:tr>
      <w:tr>
        <w:tc>
          <w:tcPr>
            <w:tcW w:type="dxa" w:w="4536"/>
            <w:shd w:val="clear" w:color="auto" w:fill="FAFAFA"/>
          </w:tcPr>
          <w:p>
            <w:r>
              <w:rPr>
                <w:b/>
                <w:color w:val="2980B9"/>
              </w:rPr>
              <w:t>Chancen (Opportunities)</w:t>
              <w:br/>
            </w:r>
          </w:p>
          <w:p>
            <w:r>
              <w:rPr>
                <w:sz w:val="18"/>
              </w:rPr>
              <w:t>• EU AI Act Deadline August 2026</w:t>
              <w:br/>
              <w:t>• KI-Adoption wächst jährlich 40 %</w:t>
              <w:br/>
              <w:t>• OSS-Community als kostenloser Kanal</w:t>
              <w:br/>
              <w:t>• Accelerator-Programme offen</w:t>
            </w:r>
          </w:p>
        </w:tc>
        <w:tc>
          <w:tcPr>
            <w:tcW w:type="dxa" w:w="4536"/>
            <w:shd w:val="clear" w:color="auto" w:fill="FAFAFA"/>
          </w:tcPr>
          <w:p>
            <w:r>
              <w:rPr>
                <w:b/>
                <w:color w:val="E74C3C"/>
              </w:rPr>
              <w:t>Risiken (Threats)</w:t>
              <w:br/>
            </w:r>
          </w:p>
          <w:p>
            <w:r>
              <w:rPr>
                <w:sz w:val="18"/>
              </w:rPr>
              <w:t>• Große Anbieter bauen Compliance nach</w:t>
              <w:br/>
              <w:t>• Regulatorischer Zeitplan kann sich ändern</w:t>
              <w:br/>
              <w:t>• Marktsättigung durch Investoren-finanzierte Konkurrenz</w:t>
            </w:r>
          </w:p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</w:tbl>
    <w:p>
      <w:r>
        <w:br w:type="page"/>
      </w:r>
    </w:p>
    <w:p>
      <w:pPr>
        <w:pStyle w:val="Heading1"/>
      </w:pPr>
      <w:r>
        <w:rPr>
          <w:color w:val="1B2A3B"/>
        </w:rPr>
        <w:t>10. Anhang</w:t>
      </w:r>
    </w:p>
    <w:p>
      <w:pPr>
        <w:pBdr>
          <w:bottom w:val="single" w:sz="4" w:space="1" w:color="1B2A3B"/>
        </w:pBdr>
        <w:spacing w:after="200"/>
      </w:pPr>
    </w:p>
    <w:p>
      <w:pPr>
        <w:pStyle w:val="Heading2"/>
      </w:pPr>
      <w:r>
        <w:rPr>
          <w:color w:val="2980B9"/>
        </w:rPr>
        <w:t>10.1 Technischer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ECF0F1"/>
          </w:tcPr>
          <w:p>
            <w:r>
              <w:rPr>
                <w:b/>
              </w:rPr>
              <w:t>Backend / Core</w:t>
            </w:r>
          </w:p>
        </w:tc>
        <w:tc>
          <w:tcPr>
            <w:tcW w:type="dxa" w:w="4536"/>
          </w:tcPr>
          <w:p>
            <w:r>
              <w:t>Python 3.12, asyncio, FastAPI</w:t>
            </w:r>
          </w:p>
        </w:tc>
      </w:tr>
      <w:tr>
        <w:tc>
          <w:tcPr>
            <w:tcW w:type="dxa" w:w="4536"/>
            <w:shd w:val="clear" w:color="auto" w:fill="ECF0F1"/>
          </w:tcPr>
          <w:p>
            <w:r>
              <w:rPr>
                <w:b/>
              </w:rPr>
              <w:t>Bridge-Adapters</w:t>
            </w:r>
          </w:p>
        </w:tc>
        <w:tc>
          <w:tcPr>
            <w:tcW w:type="dxa" w:w="4536"/>
          </w:tcPr>
          <w:p>
            <w:r>
              <w:t>Node.js 20 (Discord, WhatsApp, Signal)</w:t>
            </w:r>
          </w:p>
        </w:tc>
      </w:tr>
      <w:tr>
        <w:tc>
          <w:tcPr>
            <w:tcW w:type="dxa" w:w="4536"/>
            <w:shd w:val="clear" w:color="auto" w:fill="ECF0F1"/>
          </w:tcPr>
          <w:p>
            <w:r>
              <w:rPr>
                <w:b/>
              </w:rPr>
              <w:t>KI-Integration</w:t>
            </w:r>
          </w:p>
        </w:tc>
        <w:tc>
          <w:tcPr>
            <w:tcW w:type="dxa" w:w="4536"/>
          </w:tcPr>
          <w:p>
            <w:r>
              <w:t>Anthropic SDK (Claude), OpenAI SDK, Ollama (lokal)</w:t>
            </w:r>
          </w:p>
        </w:tc>
      </w:tr>
      <w:tr>
        <w:tc>
          <w:tcPr>
            <w:tcW w:type="dxa" w:w="4536"/>
            <w:shd w:val="clear" w:color="auto" w:fill="ECF0F1"/>
          </w:tcPr>
          <w:p>
            <w:r>
              <w:rPr>
                <w:b/>
              </w:rPr>
              <w:t>Sandboxing</w:t>
            </w:r>
          </w:p>
        </w:tc>
        <w:tc>
          <w:tcPr>
            <w:tcW w:type="dxa" w:w="4536"/>
          </w:tcPr>
          <w:p>
            <w:r>
              <w:t>bubblewrap (bwrap), Linux namespaces</w:t>
            </w:r>
          </w:p>
        </w:tc>
      </w:tr>
      <w:tr>
        <w:tc>
          <w:tcPr>
            <w:tcW w:type="dxa" w:w="4536"/>
            <w:shd w:val="clear" w:color="auto" w:fill="ECF0F1"/>
          </w:tcPr>
          <w:p>
            <w:r>
              <w:rPr>
                <w:b/>
              </w:rPr>
              <w:t>Datenbank / Audit</w:t>
            </w:r>
          </w:p>
        </w:tc>
        <w:tc>
          <w:tcPr>
            <w:tcW w:type="dxa" w:w="4536"/>
          </w:tcPr>
          <w:p>
            <w:r>
              <w:t>SQLite (FTS5), JSONL hash-chain</w:t>
            </w:r>
          </w:p>
        </w:tc>
      </w:tr>
      <w:tr>
        <w:tc>
          <w:tcPr>
            <w:tcW w:type="dxa" w:w="4536"/>
            <w:shd w:val="clear" w:color="auto" w:fill="ECF0F1"/>
          </w:tcPr>
          <w:p>
            <w:r>
              <w:rPr>
                <w:b/>
              </w:rPr>
              <w:t>Deployment</w:t>
            </w:r>
          </w:p>
        </w:tc>
        <w:tc>
          <w:tcPr>
            <w:tcW w:type="dxa" w:w="4536"/>
          </w:tcPr>
          <w:p>
            <w:r>
              <w:t>Docker Compose, Hetzner Cloud (EU), setup.sh Wizard</w:t>
            </w:r>
          </w:p>
        </w:tc>
      </w:tr>
      <w:tr>
        <w:tc>
          <w:tcPr>
            <w:tcW w:type="dxa" w:w="4536"/>
            <w:shd w:val="clear" w:color="auto" w:fill="ECF0F1"/>
          </w:tcPr>
          <w:p>
            <w:r>
              <w:rPr>
                <w:b/>
              </w:rPr>
              <w:t>CI/CD</w:t>
            </w:r>
          </w:p>
        </w:tc>
        <w:tc>
          <w:tcPr>
            <w:tcW w:type="dxa" w:w="4536"/>
          </w:tcPr>
          <w:p>
            <w:r>
              <w:t>GitHub Actions, pytest (183 Tests)</w:t>
            </w:r>
          </w:p>
        </w:tc>
      </w:tr>
    </w:tbl>
    <w:p>
      <w:pPr>
        <w:spacing w:before="200" w:after="80"/>
      </w:pPr>
    </w:p>
    <w:p>
      <w:pPr>
        <w:pStyle w:val="Heading2"/>
      </w:pPr>
      <w:r>
        <w:rPr>
          <w:color w:val="2980B9"/>
        </w:rPr>
        <w:t>10.2 Compliance-Referenzen</w:t>
      </w:r>
    </w:p>
    <w:p>
      <w:pPr>
        <w:pStyle w:val="ListBullet"/>
        <w:ind w:left="360"/>
      </w:pPr>
      <w:r>
        <w:t>EU AI Act, Art. 50 — Transparenzpflichten für KI-Systeme mit Nutzerinteraktion</w:t>
      </w:r>
    </w:p>
    <w:p>
      <w:pPr>
        <w:pStyle w:val="ListBullet"/>
        <w:ind w:left="360"/>
      </w:pPr>
      <w:r>
        <w:t>DSGVO Art. 6/7 — Einwilligung; Art. 17 — Recht auf Löschung; Art. 30/32 — Verarbeitungsverzeichnis</w:t>
      </w:r>
    </w:p>
    <w:p>
      <w:pPr>
        <w:pStyle w:val="ListBullet"/>
        <w:ind w:left="360"/>
      </w:pPr>
      <w:r>
        <w:t>ADR-0007 (intern): Multi-Tenant-Architektur mit Compliance-Zone-Routing</w:t>
      </w:r>
    </w:p>
    <w:p>
      <w:pPr>
        <w:pStyle w:val="ListBullet"/>
        <w:ind w:left="360"/>
      </w:pPr>
      <w:r>
        <w:t>ADR-0017 (intern): Enterprise Control Plane mit License-Gate und Compliance-Reports</w:t>
      </w:r>
    </w:p>
    <w:p>
      <w:pPr>
        <w:spacing w:before="200" w:after="80"/>
      </w:pPr>
    </w:p>
    <w:p>
      <w:pPr>
        <w:pStyle w:val="Heading2"/>
      </w:pPr>
      <w:r>
        <w:rPr>
          <w:color w:val="2980B9"/>
        </w:rPr>
        <w:t>10.3 Kontakt</w:t>
      </w:r>
    </w:p>
    <w:p>
      <w:pPr>
        <w:spacing w:before="0" w:after="80"/>
      </w:pPr>
      <w:r>
        <w:rPr>
          <w:b w:val="0"/>
          <w:i w:val="0"/>
        </w:rPr>
        <w:t>Silvio Jurk · Berlin · silvio.jurk@googlemail.com · atelierOS.dev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