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ageBreakBefore/>
      </w:pPr>
      <w:r>
        <w:t xml:space="preserve">90-Day Turnover</w:t>
      </w:r>
    </w:p>
    <w:p>
      <w:pPr>
        <w:spacing w:after="90" w:line="290"/>
      </w:pPr>
      <w:r>
        <w:rPr>
          <w:rFonts w:ascii="Arial" w:cs="Arial" w:eastAsia="Arial" w:hAnsi="Arial"/>
          <w:color w:val="666666"/>
          <w:sz w:val="19"/>
          <w:szCs w:val="19"/>
        </w:rPr>
        <w:t xml:space="preserve">Where to find it: </w:t>
      </w:r>
      <w:r>
        <w:rPr>
          <w:rFonts w:ascii="Arial" w:cs="Arial" w:eastAsia="Arial" w:hAnsi="Arial"/>
          <w:color w:val="666666"/>
          <w:sz w:val="19"/>
          <w:szCs w:val="19"/>
        </w:rPr>
        <w:t xml:space="preserve">Side menu  &gt;  90-Day Turnover</w:t>
      </w:r>
    </w:p>
    <w:p>
      <w:pPr>
        <w:spacing w:after="90" w:line="290"/>
      </w:pPr>
      <w:r>
        <w:rPr>
          <w:rFonts w:ascii="Arial" w:cs="Arial" w:eastAsia="Arial" w:hAnsi="Arial"/>
          <w:color w:val="27251F"/>
          <w:sz w:val="21"/>
          <w:szCs w:val="21"/>
        </w:rPr>
        <w:t xml:space="preserve">Use this page to see how many new hires leave within their first 90 days. It tracks "early leavers": employees hired in a given month (a cohort) who resigned within their first 90 days. The 90-Day Rate = early leavers / total new hires in that cohort x 100. A cohort hired less than 90 days ago is marked "Provisional", because its final rate can still change.</w:t>
      </w:r>
    </w:p>
    <w:p>
      <w:pPr>
        <w:pStyle w:val="Heading2"/>
      </w:pPr>
      <w:r>
        <w:t xml:space="preserve">Step 1 - Choose the cohort and your scope</w:t>
      </w:r>
    </w:p>
    <w:p>
      <w:pPr>
        <w:keepNext/>
        <w:spacing w:after="120" w:before="60"/>
        <w:jc w:val="center"/>
      </w:pPr>
      <w:r>
        <w:drawing>
          <wp:inline distT="0" distB="0" distL="0" distR="0">
            <wp:extent cx="6953250" cy="93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6953250" cy="933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month selector picks which hiring cohort(s) to look at. Everything on the page, except the trend chart, is scoped to the cohort(s) you select. Choosing a Store, Operation Manager, Operation Consultant, Senior Operation Consultant or Operation Director filters every chart and table to just that selection.</w:t>
      </w:r>
    </w:p>
    <w:p>
      <w:pPr>
        <w:pStyle w:val="Heading2"/>
      </w:pPr>
      <w:r>
        <w:t xml:space="preserve">Step 2 - Read the headline numbers</w:t>
      </w:r>
    </w:p>
    <w:tbl>
      <w:tblPr>
        <w:tblW w:type="dxa" w:w="10998"/>
        <w:jc w:val="center"/>
        <w:tblBorders>
          <w:top w:val="single" w:color="auto" w:sz="4"/>
          <w:left w:val="single" w:color="auto" w:sz="4"/>
          <w:bottom w:val="single" w:color="auto" w:sz="4"/>
          <w:right w:val="single" w:color="auto" w:sz="4"/>
          <w:insideH w:val="single" w:color="auto" w:sz="4"/>
          <w:insideV w:val="single" w:color="auto" w:sz="4"/>
        </w:tblBorders>
      </w:tblPr>
      <w:tblGrid>
        <w:gridCol w:w="3666"/>
        <w:gridCol w:w="3666"/>
        <w:gridCol w:w="3666"/>
      </w:tblGrid>
      <w:tr>
        <w:trPr>
          <w:cantSplit/>
        </w:trPr>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666875" cy="657225"/>
                          </a:xfrm>
                          <a:prstGeom prst="rect">
                            <a:avLst/>
                          </a:prstGeom>
                        </pic:spPr>
                      </pic:pic>
                    </a:graphicData>
                  </a:graphic>
                </wp:inline>
              </w:drawing>
            </w:r>
          </w:p>
        </w:tc>
        <w:tc>
          <w:tcPr>
            <w:tcW w:type="dxa" w:w="3666"/>
            <w:tcBorders>
              <w:top w:val="none" w:color="FFFFFF" w:sz="0"/>
              <w:left w:val="none" w:color="FFFFFF" w:sz="0"/>
              <w:bottom w:val="none" w:color="FFFFFF" w:sz="0"/>
              <w:right w:val="none" w:color="FFFFFF" w:sz="0"/>
            </w:tcBorders>
            <w:tcMar>
              <w:top w:type="dxa" w:w="40"/>
              <w:left w:type="dxa" w:w="40"/>
              <w:bottom w:type="dxa" w:w="80"/>
              <w:right w:type="dxa" w:w="40"/>
            </w:tcMar>
          </w:tcPr>
          <w:p>
            <w:pPr>
              <w:jc w:val="center"/>
            </w:pPr>
            <w:r>
              <w:drawing>
                <wp:inline distT="0" distB="0" distL="0" distR="0">
                  <wp:extent cx="1666875" cy="657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666875" cy="657225"/>
                          </a:xfrm>
                          <a:prstGeom prst="rect">
                            <a:avLst/>
                          </a:prstGeom>
                        </pic:spPr>
                      </pic:pic>
                    </a:graphicData>
                  </a:graphic>
                </wp:inline>
              </w:drawing>
            </w:r>
          </w:p>
        </w:tc>
      </w:tr>
    </w:tbl>
    <w:p>
      <w:pPr>
        <w:spacing w:after="40"/>
      </w:pPr>
      <w:r>
        <w:rPr>
          <w:rFonts w:ascii="Arial" w:cs="Arial" w:eastAsia="Arial" w:hAnsi="Arial"/>
          <w:color w:val="27251F"/>
          <w:sz w:val="21"/>
          <w:szCs w:val="21"/>
        </w:rPr>
        <w:t xml:space="preserve"/>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the 90-Day Turnover Rate: early leavers divided by hires in the cohort.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a high rate means many new people do not stay past their first three months - look at hiring quality, onboarding and training before looking at anything else.</w:t>
      </w:r>
    </w:p>
    <w:p>
      <w:pPr>
        <w:pStyle w:val="Heading2"/>
      </w:pPr>
      <w:r>
        <w:t xml:space="preserve">Step 3 - Which hiring months stick better?</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monthly hiring cohort (people hired that month), so you can compare how "sticky" different hiring months have been.</w:t>
      </w:r>
    </w:p>
    <w:p>
      <w:pPr>
        <w:pStyle w:val="Heading2"/>
      </w:pPr>
      <w:r>
        <w:t xml:space="preserve">Step 4 - Is the trend improving?</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across cohorts over time, from the selected year onward. It always shows the full history regardless of the month filter.</w:t>
      </w:r>
    </w:p>
    <w:p>
      <w:pPr>
        <w:pStyle w:val="Heading2"/>
      </w:pPr>
      <w:r>
        <w:t xml:space="preserve">Step 5 - Which stores lose their new hires?</w:t>
      </w:r>
    </w:p>
    <w:p>
      <w:pPr>
        <w:keepNext/>
        <w:spacing w:after="120" w:before="60"/>
        <w:jc w:val="center"/>
      </w:pPr>
      <w:r>
        <w:drawing>
          <wp:inline distT="0" distB="0" distL="0" distR="0">
            <wp:extent cx="6953250" cy="1962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6953250" cy="19621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90-Day Rate for each store in the selected cohort(s). The chart shows the top 10 stores by early-leaver rate; the full comparison is in the table below.</w:t>
      </w:r>
    </w:p>
    <w:p>
      <w:pPr>
        <w:keepNext/>
        <w:spacing w:after="120" w:before="60"/>
        <w:jc w:val="center"/>
      </w:pPr>
      <w:r>
        <w:drawing>
          <wp:inline distT="0" distB="0" distL="0" distR="0">
            <wp:extent cx="695325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6953250" cy="2047875"/>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 with its total hires, early leavers and 90-Day Rate for the selected cohort(s). Click a column header to sort.</w:t>
      </w:r>
    </w:p>
    <w:p>
      <w:pPr>
        <w:spacing w:after="90" w:line="290"/>
      </w:pPr>
      <w:r>
        <w:rPr>
          <w:rFonts w:ascii="Arial" w:cs="Arial" w:eastAsia="Arial" w:hAnsi="Arial"/>
          <w:b/>
          <w:bCs/>
          <w:color w:val="27251F"/>
          <w:sz w:val="21"/>
          <w:szCs w:val="21"/>
        </w:rPr>
        <w:t xml:space="preserve">Then decide: </w:t>
      </w:r>
      <w:r>
        <w:rPr>
          <w:rFonts w:ascii="Arial" w:cs="Arial" w:eastAsia="Arial" w:hAnsi="Arial"/>
          <w:color w:val="27251F"/>
          <w:sz w:val="21"/>
          <w:szCs w:val="21"/>
        </w:rPr>
        <w:t xml:space="preserve">talk to the Operation Consultant of the stores at the top and review how new hires are welcomed and trained there.</w:t>
      </w:r>
    </w:p>
    <w:p>
      <w:pPr>
        <w:pStyle w:val="Heading2"/>
      </w:pPr>
      <w:r>
        <w:t xml:space="preserve">Step 6 - Why do new hires leave?</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3286125" cy="18097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The reasons given by employees who resigned within their first 90 days.</w:t>
            </w:r>
          </w:p>
        </w:tc>
      </w:tr>
    </w:tbl>
    <w:p>
      <w:pPr>
        <w:spacing w:after="30"/>
      </w:pPr>
      <w:r>
        <w:rPr>
          <w:rFonts w:ascii="Arial" w:cs="Arial" w:eastAsia="Arial" w:hAnsi="Arial"/>
          <w:color w:val="27251F"/>
          <w:sz w:val="21"/>
          <w:szCs w:val="21"/>
        </w:rPr>
        <w:t xml:space="preserve"/>
      </w:r>
    </w:p>
    <w:p>
      <w:pPr>
        <w:pStyle w:val="Heading2"/>
      </w:pPr>
      <w:r>
        <w:t xml:space="preserve">Step 7 - Who leaves early?</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3286125" cy="1809750"/>
                          </a:xfrm>
                          <a:prstGeom prst="rect">
                            <a:avLst/>
                          </a:prstGeom>
                        </pic:spPr>
                      </pic:pic>
                    </a:graphicData>
                  </a:graphic>
                </wp:inline>
              </w:drawing>
            </w:r>
          </w:p>
          <w:p>
            <w:pPr>
              <w:spacing w:after="70" w:line="270"/>
            </w:pPr>
            <w:r>
              <w:rPr>
                <w:rFonts w:ascii="Arial" w:cs="Arial" w:eastAsia="Arial" w:hAnsi="Arial"/>
                <w:color w:val="27251F"/>
                <w:sz w:val="21"/>
                <w:szCs w:val="21"/>
              </w:rPr>
              <w:t xml:space="preserve">Gender split of the early leavers in the selected cohort(s).</w:t>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3286125" cy="1885950"/>
                          </a:xfrm>
                          <a:prstGeom prst="rect">
                            <a:avLst/>
                          </a:prstGeom>
                        </pic:spPr>
                      </pic:pic>
                    </a:graphicData>
                  </a:graphic>
                </wp:inline>
              </w:drawing>
            </w:r>
          </w:p>
          <w:p>
            <w:pPr>
              <w:spacing w:after="70" w:line="270"/>
            </w:pPr>
            <w:r>
              <w:rPr>
                <w:rFonts w:ascii="Arial" w:cs="Arial" w:eastAsia="Arial" w:hAnsi="Arial"/>
                <w:color w:val="27251F"/>
                <w:sz w:val="21"/>
                <w:szCs w:val="21"/>
              </w:rPr>
              <w:t xml:space="preserve">Early leavers grouped by job title.</w:t>
            </w:r>
          </w:p>
        </w:tc>
      </w:tr>
    </w:tbl>
    <w:p>
      <w:pPr>
        <w:spacing w:after="30"/>
      </w:pPr>
      <w:r>
        <w:rPr>
          <w:rFonts w:ascii="Arial" w:cs="Arial" w:eastAsia="Arial" w:hAnsi="Arial"/>
          <w:color w:val="27251F"/>
          <w:sz w:val="21"/>
          <w:szCs w:val="21"/>
        </w:rPr>
        <w:t xml:space="preserve"/>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1885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3286125" cy="188595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spacing w:after="70" w:line="270"/>
            </w:pPr>
            <w:r>
              <w:rPr>
                <w:rFonts w:ascii="Arial" w:cs="Arial" w:eastAsia="Arial" w:hAnsi="Arial"/>
                <w:color w:val="27251F"/>
                <w:sz w:val="21"/>
                <w:szCs w:val="21"/>
              </w:rPr>
              <w:t xml:space="preserve">Early leavers grouped by payroll group.</w:t>
            </w:r>
          </w:p>
        </w:tc>
      </w:tr>
    </w:tbl>
    <w:p>
      <w:pPr>
        <w:spacing w:after="30"/>
      </w:pPr>
      <w:r>
        <w:rPr>
          <w:rFonts w:ascii="Arial" w:cs="Arial" w:eastAsia="Arial" w:hAnsi="Arial"/>
          <w:color w:val="27251F"/>
          <w:sz w:val="21"/>
          <w:szCs w:val="21"/>
        </w:rPr>
        <w:t xml:space="preserve"/>
      </w:r>
    </w:p>
    <w:p>
      <w:pPr>
        <w:pStyle w:val="Heading2"/>
      </w:pPr>
      <w:r>
        <w:t xml:space="preserve">Step 8 - Who should you talk to?</w:t>
      </w:r>
    </w:p>
    <w:tbl>
      <w:tblPr>
        <w:tblW w:type="dxa" w:w="11000"/>
        <w:jc w:val="center"/>
        <w:tblBorders>
          <w:top w:val="single" w:color="auto" w:sz="4"/>
          <w:left w:val="single" w:color="auto" w:sz="4"/>
          <w:bottom w:val="single" w:color="auto" w:sz="4"/>
          <w:right w:val="single" w:color="auto" w:sz="4"/>
          <w:insideH w:val="single" w:color="auto" w:sz="4"/>
          <w:insideV w:val="single" w:color="auto" w:sz="4"/>
        </w:tblBorders>
      </w:tblPr>
      <w:tblGrid>
        <w:gridCol w:w="5500"/>
        <w:gridCol w:w="5500"/>
      </w:tblGrid>
      <w:tr>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3286125" cy="3009900"/>
                          </a:xfrm>
                          <a:prstGeom prst="rect">
                            <a:avLst/>
                          </a:prstGeom>
                        </pic:spPr>
                      </pic:pic>
                    </a:graphicData>
                  </a:graphic>
                </wp:inline>
              </w:drawing>
            </w:r>
          </w:p>
        </w:tc>
        <w:tc>
          <w:tcPr>
            <w:tcW w:type="dxa" w:w="5500"/>
            <w:tcBorders>
              <w:top w:val="none" w:color="FFFFFF" w:sz="0"/>
              <w:left w:val="none" w:color="FFFFFF" w:sz="0"/>
              <w:bottom w:val="none" w:color="FFFFFF" w:sz="0"/>
              <w:right w:val="none" w:color="FFFFFF" w:sz="0"/>
            </w:tcBorders>
            <w:tcMar>
              <w:top w:type="dxa" w:w="40"/>
              <w:left w:type="dxa" w:w="70"/>
              <w:bottom w:type="dxa" w:w="60"/>
              <w:right w:type="dxa" w:w="70"/>
            </w:tcMar>
          </w:tcPr>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914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3286125" cy="914400"/>
                          </a:xfrm>
                          <a:prstGeom prst="rect">
                            <a:avLst/>
                          </a:prstGeom>
                        </pic:spPr>
                      </pic:pic>
                    </a:graphicData>
                  </a:graphic>
                </wp:inline>
              </w:drawing>
            </w:r>
          </w:p>
          <w:p>
            <w:pPr>
              <w:keepNext/>
              <w:spacing w:after="120" w:before="60"/>
              <w:jc w:val="center"/>
            </w:pPr>
            <w:r>
              <w:drawing>
                <wp:inline distT="0" distB="0" distL="0" distR="0">
                  <wp:extent cx="3286125" cy="1095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3286125" cy="1095375"/>
                          </a:xfrm>
                          <a:prstGeom prst="rect">
                            <a:avLst/>
                          </a:prstGeom>
                        </pic:spPr>
                      </pic:pic>
                    </a:graphicData>
                  </a:graphic>
                </wp:inline>
              </w:drawing>
            </w:r>
          </w:p>
        </w:tc>
      </w:tr>
    </w:tbl>
    <w:p>
      <w:pPr>
        <w:spacing w:after="70" w:line="270"/>
      </w:pPr>
      <w:r>
        <w:rPr>
          <w:rFonts w:ascii="Arial" w:cs="Arial" w:eastAsia="Arial" w:hAnsi="Arial"/>
          <w:color w:val="27251F"/>
          <w:sz w:val="21"/>
          <w:szCs w:val="21"/>
        </w:rPr>
        <w:t xml:space="preserve">Operation Consultants, Directors and Managers ranked by their average 90-Day Rate across all their stores.</w:t>
      </w:r>
    </w:p>
    <w:p>
      <w:pPr>
        <w:pStyle w:val="Heading2"/>
      </w:pPr>
      <w:r>
        <w:t xml:space="preserve">Step 9 - Spot the pattern store by store</w:t>
      </w:r>
    </w:p>
    <w:p>
      <w:pPr>
        <w:keepNext/>
        <w:spacing w:after="120" w:before="60"/>
        <w:jc w:val="center"/>
      </w:pPr>
      <w:r>
        <w:drawing>
          <wp:inline distT="0" distB="0" distL="0" distR="0">
            <wp:extent cx="6953250" cy="2305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6953250" cy="2305050"/>
                    </a:xfrm>
                    <a:prstGeom prst="rect">
                      <a:avLst/>
                    </a:prstGeom>
                  </pic:spPr>
                </pic:pic>
              </a:graphicData>
            </a:graphic>
          </wp:inline>
        </w:drawing>
      </w:r>
    </w:p>
    <w:p>
      <w:pPr>
        <w:spacing w:after="70" w:line="270"/>
      </w:pPr>
      <w:r>
        <w:rPr>
          <w:rFonts w:ascii="Arial" w:cs="Arial" w:eastAsia="Arial" w:hAnsi="Arial"/>
          <w:color w:val="27251F"/>
          <w:sz w:val="21"/>
          <w:szCs w:val="21"/>
        </w:rPr>
        <w:t xml:space="preserve">Every store's 90-Day Rate for each period, one row per store and one column per month, so you can spot stores whose rates are consistently high, or improving or worsening over time. You can search and sort by any column.</w:t>
      </w:r>
    </w:p>
    <w:p>
      <w:pPr>
        <w:pStyle w:val="Heading2"/>
      </w:pPr>
      <w:r>
        <w:t xml:space="preserve">Step 10 - Who exactly left?</w:t>
      </w:r>
    </w:p>
    <w:p>
      <w:pPr>
        <w:keepNext/>
        <w:spacing w:after="120" w:before="60"/>
        <w:jc w:val="center"/>
      </w:pPr>
      <w:r>
        <w:drawing>
          <wp:inline distT="0" distB="0" distL="0" distR="0">
            <wp:extent cx="6953250" cy="2457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6953250" cy="2457450"/>
                    </a:xfrm>
                    <a:prstGeom prst="rect">
                      <a:avLst/>
                    </a:prstGeom>
                  </pic:spPr>
                </pic:pic>
              </a:graphicData>
            </a:graphic>
          </wp:inline>
        </w:drawing>
      </w:r>
    </w:p>
    <w:p>
      <w:pPr>
        <w:spacing w:after="70" w:line="270"/>
      </w:pPr>
      <w:r>
        <w:rPr>
          <w:rFonts w:ascii="Arial" w:cs="Arial" w:eastAsia="Arial" w:hAnsi="Arial"/>
          <w:color w:val="27251F"/>
          <w:sz w:val="21"/>
          <w:szCs w:val="21"/>
        </w:rPr>
        <w:t xml:space="preserve">The individual employees who resigned within their first 90 days in the selected cohort(s): name, store, job title, hire and resignation dates, and how many days they lasted. Click a column header to sort.</w:t>
      </w:r>
    </w:p>
    <w:p>
      <w:pPr>
        <w:spacing w:after="90" w:line="290"/>
      </w:pPr>
      <w:r>
        <w:rPr>
          <w:rFonts w:ascii="Arial" w:cs="Arial" w:eastAsia="Arial" w:hAnsi="Arial"/>
          <w:b/>
          <w:bCs/>
          <w:color w:val="27251F"/>
          <w:sz w:val="21"/>
          <w:szCs w:val="21"/>
        </w:rPr>
        <w:t xml:space="preserve">What to look at: </w:t>
      </w:r>
      <w:r>
        <w:rPr>
          <w:rFonts w:ascii="Arial" w:cs="Arial" w:eastAsia="Arial" w:hAnsi="Arial"/>
          <w:color w:val="27251F"/>
          <w:sz w:val="21"/>
          <w:szCs w:val="21"/>
        </w:rPr>
        <w:t xml:space="preserve">very short tenures (a few days) - these usually point to a problem in hiring or the first-day experience rather than in the job itself.</w:t>
      </w:r>
    </w:p>
    <w:sectPr>
      <w:headerReference w:type="default" r:id="rId7"/>
      <w:footerReference w:type="default" r:id="rId8"/>
      <w:pgSz w:w="11906" w:h="16838" w:orient="portrait"/>
      <w:pgMar w:top="1500" w:right="432" w:bottom="994" w:left="432" w:header="706" w:footer="706"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66666"/>
        <w:sz w:val="16"/>
        <w:szCs w:val="16"/>
      </w:rPr>
      <w:t xml:space="preserve">Page </w:t>
    </w:r>
    <w:r>
      <w:rPr>
        <w:rFonts w:ascii="Arial" w:cs="Arial" w:eastAsia="Arial" w:hAnsi="Arial"/>
        <w:color w:val="666666"/>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A291C" w:sz="12" w:space="4"/>
      </w:pBdr>
    </w:pPr>
    <w:r>
      <w:drawing>
        <wp:inline distT="0" distB="0" distL="0" distR="0">
          <wp:extent cx="323850" cy="285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0" cstate="none"/>
                  <a:srcRect/>
                  <a:stretch>
                    <a:fillRect/>
                  </a:stretch>
                </pic:blipFill>
                <pic:spPr bwMode="auto">
                  <a:xfrm>
                    <a:off x="0" y="0"/>
                    <a:ext cx="323850" cy="285750"/>
                  </a:xfrm>
                  <a:prstGeom prst="rect">
                    <a:avLst/>
                  </a:prstGeom>
                </pic:spPr>
              </pic:pic>
            </a:graphicData>
          </a:graphic>
        </wp:inline>
      </w:drawing>
    </w:r>
    <w:r>
      <w:rPr>
        <w:rFonts w:ascii="Arial" w:cs="Arial" w:eastAsia="Arial" w:hAnsi="Arial"/>
        <w:b/>
        <w:bCs/>
        <w:color w:val="27251F"/>
        <w:sz w:val="18"/>
        <w:szCs w:val="18"/>
      </w:rPr>
      <w:t xml:space="preserve">   McDonald's Egypt - Crew Insights Hub  |  User Guide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DA291C"/>
      <w:sz w:val="40"/>
      <w:szCs w:val="40"/>
    </w:rPr>
  </w:style>
  <w:style w:type="paragraph" w:styleId="Heading2">
    <w:name w:val="Heading 2"/>
    <w:basedOn w:val="Normal"/>
    <w:next w:val="Normal"/>
    <w:qFormat/>
    <w:pPr>
      <w:keepNext/>
      <w:pBdr>
        <w:left w:val="single" w:color="DA291C" w:sz="24" w:space="6"/>
      </w:pBdr>
      <w:spacing w:after="100" w:before="260"/>
      <w:outlineLvl w:val="1"/>
    </w:pPr>
    <w:rPr>
      <w:rFonts w:ascii="Arial" w:cs="Arial" w:eastAsia="Arial" w:hAnsi="Arial"/>
      <w:b/>
      <w:bCs/>
      <w:color w:val="27251F"/>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a7f23174df370fa7f2ec6cee6e406ff10597edf2.png"/><Relationship Id="rId10" Type="http://schemas.openxmlformats.org/officeDocument/2006/relationships/image" Target="media/947d1e7c51a2ee4165e780e42ac4d8766ec7421b.png"/><Relationship Id="rId11" Type="http://schemas.openxmlformats.org/officeDocument/2006/relationships/image" Target="media/c8b6f73d91fe923e374453748be9c1809a616057.png"/><Relationship Id="rId12" Type="http://schemas.openxmlformats.org/officeDocument/2006/relationships/image" Target="media/87967634df18eb355c0bca2143f2488f9f9a8e40.png"/><Relationship Id="rId13" Type="http://schemas.openxmlformats.org/officeDocument/2006/relationships/image" Target="media/4a198111be7f2242591c93d1bc137492344320bc.png"/><Relationship Id="rId14" Type="http://schemas.openxmlformats.org/officeDocument/2006/relationships/image" Target="media/7b5d38a207027f8dc38e3e781e69fab19d50eecb.png"/><Relationship Id="rId15" Type="http://schemas.openxmlformats.org/officeDocument/2006/relationships/image" Target="media/5cdccea8e77ef66df1b30c0701731965ecc01148.png"/><Relationship Id="rId16" Type="http://schemas.openxmlformats.org/officeDocument/2006/relationships/image" Target="media/8f0fef5672f2f043b36e8087bd3918b4a4b5c000.png"/><Relationship Id="rId17" Type="http://schemas.openxmlformats.org/officeDocument/2006/relationships/image" Target="media/4fbcef9e4891bc5ab2bb67935c375baa6ac9a47a.png"/><Relationship Id="rId18" Type="http://schemas.openxmlformats.org/officeDocument/2006/relationships/image" Target="media/e0599723e702c85cd867b67a208d6d55e8c0999b.png"/><Relationship Id="rId19" Type="http://schemas.openxmlformats.org/officeDocument/2006/relationships/image" Target="media/0d105cf07ec3f3004b12da1451e549cadc63df75.png"/><Relationship Id="rId20" Type="http://schemas.openxmlformats.org/officeDocument/2006/relationships/image" Target="media/fb2bf86214288e7e1fa53efa04f15179d416d6ab.png"/><Relationship Id="rId21" Type="http://schemas.openxmlformats.org/officeDocument/2006/relationships/image" Target="media/125236de45f3482db57646df413d5bcd96646071.png"/><Relationship Id="rId22" Type="http://schemas.openxmlformats.org/officeDocument/2006/relationships/image" Target="media/f6be749182a85cabb689d73ebc7faa95f15be3fd.png"/><Relationship Id="rId23" Type="http://schemas.openxmlformats.org/officeDocument/2006/relationships/image" Target="media/1cb8794cb87b3bfb0b2de96089371316becf51a7.png"/><Relationship Id="rId24" Type="http://schemas.openxmlformats.org/officeDocument/2006/relationships/image" Target="media/527e3a9deda23e320df3c231f4af76a225a9f2d1.png"/><Relationship Id="rId25" Type="http://schemas.openxmlformats.org/officeDocument/2006/relationships/image" Target="media/ef606944e7b1740c81437ea03bb1ca07e028d150.png"/><Relationship Id="rId26" Type="http://schemas.openxmlformats.org/officeDocument/2006/relationships/image" Target="media/a07acb5a070d18b865ec8de1165c8f66f188609e.png"/><Relationship Id="rId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Relationship Id="rId0" Type="http://schemas.openxmlformats.org/officeDocument/2006/relationships/image" Target="media/d13b3953f9864f60423edd8ab0cfe01bcd523310.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90-Day Turnover</dc:title>
  <dc:creator>McDonald's Egypt</dc:creator>
  <cp:lastModifiedBy>Un-named</cp:lastModifiedBy>
  <cp:revision>1</cp:revision>
  <dcterms:created xsi:type="dcterms:W3CDTF">2026-10-06T20:09:09.289Z</dcterms:created>
  <dcterms:modified xsi:type="dcterms:W3CDTF">2026-10-06T20:09:09.289Z</dcterms:modified>
</cp:coreProperties>
</file>

<file path=docProps/custom.xml><?xml version="1.0" encoding="utf-8"?>
<Properties xmlns="http://schemas.openxmlformats.org/officeDocument/2006/custom-properties" xmlns:vt="http://schemas.openxmlformats.org/officeDocument/2006/docPropsVTypes"/>
</file>