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pPr>
      <w:r>
        <w:t xml:space="preserve">Quick Reference</w:t>
      </w:r>
    </w:p>
    <w:p>
      <w:pPr>
        <w:spacing w:after="90" w:line="290"/>
      </w:pPr>
      <w:r>
        <w:rPr>
          <w:rFonts w:ascii="Arial" w:cs="Arial" w:eastAsia="Arial" w:hAnsi="Arial"/>
          <w:color w:val="27251F"/>
          <w:sz w:val="21"/>
          <w:szCs w:val="21"/>
        </w:rPr>
        <w:t xml:space="preserve">One line per page: what it is for, and what to look at first. Most pages have filters at the top (period, store, Operation Manager, Operation Consultant, and so on), and almost every page has a red lightbulb "Page Guide" button at the top right that explains the page.</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300"/>
        <w:gridCol w:w="3300"/>
        <w:gridCol w:w="3800"/>
      </w:tblGrid>
      <w:tr>
        <w:trPr>
          <w:cantSplit/>
          <w:tblHeader/>
        </w:trPr>
        <w:tc>
          <w:tcPr>
            <w:tcW w:type="dxa" w:w="2300"/>
            <w:tcBorders>
              <w:top w:val="single" w:color="D9D9D6" w:sz="4"/>
              <w:left w:val="single" w:color="D9D9D6" w:sz="4"/>
              <w:bottom w:val="single" w:color="D9D9D6" w:sz="4"/>
              <w:right w:val="single" w:color="D9D9D6" w:sz="4"/>
            </w:tcBorders>
            <w:shd w:fill="FFC72C" w:color="auto" w:val="clear"/>
            <w:tcMar>
              <w:top w:type="dxa" w:w="70"/>
              <w:left w:type="dxa" w:w="110"/>
              <w:bottom w:type="dxa" w:w="70"/>
              <w:right w:type="dxa" w:w="110"/>
            </w:tcMar>
          </w:tcPr>
          <w:p>
            <w:r>
              <w:rPr>
                <w:rFonts w:ascii="Arial" w:cs="Arial" w:eastAsia="Arial" w:hAnsi="Arial"/>
                <w:b/>
                <w:bCs/>
                <w:color w:val="27251F"/>
                <w:sz w:val="19"/>
                <w:szCs w:val="19"/>
              </w:rPr>
              <w:t xml:space="preserve">Page</w:t>
            </w:r>
          </w:p>
        </w:tc>
        <w:tc>
          <w:tcPr>
            <w:tcW w:type="dxa" w:w="3300"/>
            <w:tcBorders>
              <w:top w:val="single" w:color="D9D9D6" w:sz="4"/>
              <w:left w:val="single" w:color="D9D9D6" w:sz="4"/>
              <w:bottom w:val="single" w:color="D9D9D6" w:sz="4"/>
              <w:right w:val="single" w:color="D9D9D6" w:sz="4"/>
            </w:tcBorders>
            <w:shd w:fill="FFC72C" w:color="auto" w:val="clear"/>
            <w:tcMar>
              <w:top w:type="dxa" w:w="70"/>
              <w:left w:type="dxa" w:w="110"/>
              <w:bottom w:type="dxa" w:w="70"/>
              <w:right w:type="dxa" w:w="110"/>
            </w:tcMar>
          </w:tcPr>
          <w:p>
            <w:r>
              <w:rPr>
                <w:rFonts w:ascii="Arial" w:cs="Arial" w:eastAsia="Arial" w:hAnsi="Arial"/>
                <w:b/>
                <w:bCs/>
                <w:color w:val="27251F"/>
                <w:sz w:val="19"/>
                <w:szCs w:val="19"/>
              </w:rPr>
              <w:t xml:space="preserve">Use it to</w:t>
            </w:r>
          </w:p>
        </w:tc>
        <w:tc>
          <w:tcPr>
            <w:tcW w:type="dxa" w:w="3800"/>
            <w:tcBorders>
              <w:top w:val="single" w:color="D9D9D6" w:sz="4"/>
              <w:left w:val="single" w:color="D9D9D6" w:sz="4"/>
              <w:bottom w:val="single" w:color="D9D9D6" w:sz="4"/>
              <w:right w:val="single" w:color="D9D9D6" w:sz="4"/>
            </w:tcBorders>
            <w:shd w:fill="FFC72C" w:color="auto" w:val="clear"/>
            <w:tcMar>
              <w:top w:type="dxa" w:w="70"/>
              <w:left w:type="dxa" w:w="110"/>
              <w:bottom w:type="dxa" w:w="70"/>
              <w:right w:type="dxa" w:w="110"/>
            </w:tcMar>
          </w:tcPr>
          <w:p>
            <w:r>
              <w:rPr>
                <w:rFonts w:ascii="Arial" w:cs="Arial" w:eastAsia="Arial" w:hAnsi="Arial"/>
                <w:b/>
                <w:bCs/>
                <w:color w:val="27251F"/>
                <w:sz w:val="19"/>
                <w:szCs w:val="19"/>
              </w:rPr>
              <w:t xml:space="preserve">Look at first</w:t>
            </w:r>
          </w:p>
        </w:tc>
      </w:tr>
      <w:tr>
        <w:trPr>
          <w:cantSplit/>
          <w:tblHeader w:val="false"/>
        </w:trPr>
        <w:tc>
          <w:tcPr>
            <w:tcW w:type="dxa" w:w="23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Workforce Overview</w:t>
            </w:r>
          </w:p>
        </w:tc>
        <w:tc>
          <w:tcPr>
            <w:tcW w:type="dxa" w:w="33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See who works for you right now</w:t>
            </w:r>
          </w:p>
        </w:tc>
        <w:tc>
          <w:tcPr>
            <w:tcW w:type="dxa" w:w="3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Total headcount, tenure mix, store table</w:t>
            </w:r>
          </w:p>
        </w:tc>
      </w:tr>
      <w:tr>
        <w:trPr>
          <w:cantSplit/>
          <w:tblHeader w:val="false"/>
        </w:trPr>
        <w:tc>
          <w:tcPr>
            <w:tcW w:type="dxa" w:w="23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Workforce Planning</w:t>
            </w:r>
          </w:p>
        </w:tc>
        <w:tc>
          <w:tcPr>
            <w:tcW w:type="dxa" w:w="33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Compare planned headcount with actual</w:t>
            </w:r>
          </w:p>
        </w:tc>
        <w:tc>
          <w:tcPr>
            <w:tcW w:type="dxa" w:w="3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Fill Rate, Shortage, stores marked Understaffed</w:t>
            </w:r>
          </w:p>
        </w:tc>
      </w:tr>
      <w:tr>
        <w:trPr>
          <w:cantSplit/>
          <w:tblHeader w:val="false"/>
        </w:trPr>
        <w:tc>
          <w:tcPr>
            <w:tcW w:type="dxa" w:w="23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Hiring Forecast</w:t>
            </w:r>
          </w:p>
        </w:tc>
        <w:tc>
          <w:tcPr>
            <w:tcW w:type="dxa" w:w="33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Plan hires month by month</w:t>
            </w:r>
          </w:p>
        </w:tc>
        <w:tc>
          <w:tcPr>
            <w:tcW w:type="dxa" w:w="3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Busiest month, next 3 months</w:t>
            </w:r>
          </w:p>
        </w:tc>
      </w:tr>
      <w:tr>
        <w:trPr>
          <w:cantSplit/>
          <w:tblHeader w:val="false"/>
        </w:trPr>
        <w:tc>
          <w:tcPr>
            <w:tcW w:type="dxa" w:w="23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Crew Trainers</w:t>
            </w:r>
          </w:p>
        </w:tc>
        <w:tc>
          <w:tcPr>
            <w:tcW w:type="dxa" w:w="33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Check the 1-trainer-per-6-crew rule</w:t>
            </w:r>
          </w:p>
        </w:tc>
        <w:tc>
          <w:tcPr>
            <w:tcW w:type="dxa" w:w="3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Trainers vs the rule, stores with no trainers</w:t>
            </w:r>
          </w:p>
        </w:tc>
      </w:tr>
      <w:tr>
        <w:trPr>
          <w:cantSplit/>
          <w:tblHeader w:val="false"/>
        </w:trPr>
        <w:tc>
          <w:tcPr>
            <w:tcW w:type="dxa" w:w="23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Turnover</w:t>
            </w:r>
          </w:p>
        </w:tc>
        <w:tc>
          <w:tcPr>
            <w:tcW w:type="dxa" w:w="33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See who is leaving and where</w:t>
            </w:r>
          </w:p>
        </w:tc>
        <w:tc>
          <w:tcPr>
            <w:tcW w:type="dxa" w:w="3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Turnover Rate, reasons, stores at the top</w:t>
            </w:r>
          </w:p>
        </w:tc>
      </w:tr>
      <w:tr>
        <w:trPr>
          <w:cantSplit/>
          <w:tblHeader w:val="false"/>
        </w:trPr>
        <w:tc>
          <w:tcPr>
            <w:tcW w:type="dxa" w:w="23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90-Day Turnover</w:t>
            </w:r>
          </w:p>
        </w:tc>
        <w:tc>
          <w:tcPr>
            <w:tcW w:type="dxa" w:w="33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See new hires who leave within 90 days</w:t>
            </w:r>
          </w:p>
        </w:tc>
        <w:tc>
          <w:tcPr>
            <w:tcW w:type="dxa" w:w="3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90-Day Rate, by store</w:t>
            </w:r>
          </w:p>
        </w:tc>
      </w:tr>
      <w:tr>
        <w:trPr>
          <w:cantSplit/>
          <w:tblHeader w:val="false"/>
        </w:trPr>
        <w:tc>
          <w:tcPr>
            <w:tcW w:type="dxa" w:w="23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Comparisons</w:t>
            </w:r>
          </w:p>
        </w:tc>
        <w:tc>
          <w:tcPr>
            <w:tcW w:type="dxa" w:w="33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Compare two periods</w:t>
            </w:r>
          </w:p>
        </w:tc>
        <w:tc>
          <w:tcPr>
            <w:tcW w:type="dxa" w:w="3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Change in Turnover Rate and 90-Day Rate</w:t>
            </w:r>
          </w:p>
        </w:tc>
      </w:tr>
      <w:tr>
        <w:trPr>
          <w:cantSplit/>
          <w:tblHeader w:val="false"/>
        </w:trPr>
        <w:tc>
          <w:tcPr>
            <w:tcW w:type="dxa" w:w="23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Retention</w:t>
            </w:r>
          </w:p>
        </w:tc>
        <w:tc>
          <w:tcPr>
            <w:tcW w:type="dxa" w:w="33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See how long people stay</w:t>
            </w:r>
          </w:p>
        </w:tc>
        <w:tc>
          <w:tcPr>
            <w:tcW w:type="dxa" w:w="3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6-month retention, tenure cards</w:t>
            </w:r>
          </w:p>
        </w:tc>
      </w:tr>
      <w:tr>
        <w:trPr>
          <w:cantSplit/>
          <w:tblHeader w:val="false"/>
        </w:trPr>
        <w:tc>
          <w:tcPr>
            <w:tcW w:type="dxa" w:w="23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Exit Interviews</w:t>
            </w:r>
          </w:p>
        </w:tc>
        <w:tc>
          <w:tcPr>
            <w:tcW w:type="dxa" w:w="33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Understand why people leave</w:t>
            </w:r>
          </w:p>
        </w:tc>
        <w:tc>
          <w:tcPr>
            <w:tcW w:type="dxa" w:w="3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Positive sentiment, top reasons, engagement drivers</w:t>
            </w:r>
          </w:p>
        </w:tc>
      </w:tr>
      <w:tr>
        <w:trPr>
          <w:cantSplit/>
          <w:tblHeader w:val="false"/>
        </w:trPr>
        <w:tc>
          <w:tcPr>
            <w:tcW w:type="dxa" w:w="23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Early Warning</w:t>
            </w:r>
          </w:p>
        </w:tc>
        <w:tc>
          <w:tcPr>
            <w:tcW w:type="dxa" w:w="33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Spot people who may be about to leave</w:t>
            </w:r>
          </w:p>
        </w:tc>
        <w:tc>
          <w:tcPr>
            <w:tcW w:type="dxa" w:w="3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High-Risk table</w:t>
            </w:r>
          </w:p>
        </w:tc>
      </w:tr>
      <w:tr>
        <w:trPr>
          <w:cantSplit/>
          <w:tblHeader w:val="false"/>
        </w:trPr>
        <w:tc>
          <w:tcPr>
            <w:tcW w:type="dxa" w:w="23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Scorecard</w:t>
            </w:r>
          </w:p>
        </w:tc>
        <w:tc>
          <w:tcPr>
            <w:tcW w:type="dxa" w:w="33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Rank Store Leaders on four metrics</w:t>
            </w:r>
          </w:p>
        </w:tc>
        <w:tc>
          <w:tcPr>
            <w:tcW w:type="dxa" w:w="3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Turnover rate, Above Average leaders, flagged consultants/managers</w:t>
            </w:r>
          </w:p>
        </w:tc>
      </w:tr>
      <w:tr>
        <w:trPr>
          <w:cantSplit/>
          <w:tblHeader w:val="false"/>
        </w:trPr>
        <w:tc>
          <w:tcPr>
            <w:tcW w:type="dxa" w:w="23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Action Center</w:t>
            </w:r>
          </w:p>
        </w:tc>
        <w:tc>
          <w:tcPr>
            <w:tcW w:type="dxa" w:w="33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Follow store health and open Action Plans</w:t>
            </w:r>
          </w:p>
        </w:tc>
        <w:tc>
          <w:tcPr>
            <w:tcW w:type="dxa" w:w="3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Critical stores, tier, stalled plans</w:t>
            </w:r>
          </w:p>
        </w:tc>
      </w:tr>
      <w:tr>
        <w:trPr>
          <w:cantSplit/>
          <w:tblHeader w:val="false"/>
        </w:trPr>
        <w:tc>
          <w:tcPr>
            <w:tcW w:type="dxa" w:w="23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Stores</w:t>
            </w:r>
          </w:p>
        </w:tc>
        <w:tc>
          <w:tcPr>
            <w:tcW w:type="dxa" w:w="33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Browse every store at a glance</w:t>
            </w:r>
          </w:p>
        </w:tc>
        <w:tc>
          <w:tcPr>
            <w:tcW w:type="dxa" w:w="3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Health badge on each store card</w:t>
            </w:r>
          </w:p>
        </w:tc>
      </w:tr>
      <w:tr>
        <w:trPr>
          <w:cantSplit/>
          <w:tblHeader w:val="false"/>
        </w:trPr>
        <w:tc>
          <w:tcPr>
            <w:tcW w:type="dxa" w:w="23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Reports</w:t>
            </w:r>
          </w:p>
        </w:tc>
        <w:tc>
          <w:tcPr>
            <w:tcW w:type="dxa" w:w="33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Download Excel reports</w:t>
            </w:r>
          </w:p>
        </w:tc>
        <w:tc>
          <w:tcPr>
            <w:tcW w:type="dxa" w:w="3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Pick the report card you need</w:t>
            </w:r>
          </w:p>
        </w:tc>
      </w:tr>
    </w:tbl>
    <w:p>
      <w:pPr>
        <w:spacing w:after="40"/>
      </w:pPr>
      <w:r>
        <w:rPr>
          <w:rFonts w:ascii="Arial" w:cs="Arial" w:eastAsia="Arial" w:hAnsi="Arial"/>
          <w:color w:val="27251F"/>
          <w:sz w:val="21"/>
          <w:szCs w:val="21"/>
        </w:rPr>
        <w:t xml:space="preserve"/>
      </w:r>
    </w:p>
    <w:p>
      <w:pPr>
        <w:pStyle w:val="Heading2"/>
      </w:pPr>
      <w:r>
        <w:t xml:space="preserve">Tips</w:t>
      </w:r>
    </w:p>
    <w:p>
      <w:pPr>
        <w:pStyle w:val="ListParagraph"/>
        <w:numPr>
          <w:ilvl w:val="0"/>
          <w:numId w:val="2"/>
        </w:numPr>
        <w:spacing w:after="60" w:line="280"/>
      </w:pPr>
      <w:r>
        <w:rPr>
          <w:rFonts w:ascii="Arial" w:cs="Arial" w:eastAsia="Arial" w:hAnsi="Arial"/>
          <w:color w:val="27251F"/>
          <w:sz w:val="21"/>
          <w:szCs w:val="21"/>
        </w:rPr>
        <w:t xml:space="preserve">On pages that have filters, pick a store, manager or consultant and the charts and tables on that page follow your choice.</w:t>
      </w:r>
    </w:p>
    <w:p>
      <w:pPr>
        <w:pStyle w:val="ListParagraph"/>
        <w:numPr>
          <w:ilvl w:val="0"/>
          <w:numId w:val="2"/>
        </w:numPr>
        <w:spacing w:after="60" w:line="280"/>
      </w:pPr>
      <w:r>
        <w:rPr>
          <w:rFonts w:ascii="Arial" w:cs="Arial" w:eastAsia="Arial" w:hAnsi="Arial"/>
          <w:color w:val="27251F"/>
          <w:sz w:val="21"/>
          <w:szCs w:val="21"/>
        </w:rPr>
        <w:t xml:space="preserve">Where a table column header shows a sort arrow, click it to sort (click again to reverse).</w:t>
      </w:r>
    </w:p>
    <w:p>
      <w:pPr>
        <w:pStyle w:val="ListParagraph"/>
        <w:numPr>
          <w:ilvl w:val="0"/>
          <w:numId w:val="2"/>
        </w:numPr>
        <w:spacing w:after="60" w:line="280"/>
      </w:pPr>
      <w:r>
        <w:rPr>
          <w:rFonts w:ascii="Arial" w:cs="Arial" w:eastAsia="Arial" w:hAnsi="Arial"/>
          <w:color w:val="27251F"/>
          <w:sz w:val="21"/>
          <w:szCs w:val="21"/>
        </w:rPr>
        <w:t xml:space="preserve">Open your avatar menu (top right) to switch between English and Arabic, or between light and dark mode.</w:t>
      </w:r>
    </w:p>
    <w:p>
      <w:pPr>
        <w:pStyle w:val="ListParagraph"/>
        <w:numPr>
          <w:ilvl w:val="0"/>
          <w:numId w:val="2"/>
        </w:numPr>
        <w:spacing w:after="60" w:line="280"/>
      </w:pPr>
      <w:r>
        <w:rPr>
          <w:rFonts w:ascii="Arial" w:cs="Arial" w:eastAsia="Arial" w:hAnsi="Arial"/>
          <w:color w:val="27251F"/>
          <w:sz w:val="21"/>
          <w:szCs w:val="21"/>
        </w:rPr>
        <w:t xml:space="preserve">Charts: hover over a bar or point to see its exact value.</w:t>
      </w:r>
    </w:p>
    <w:sectPr>
      <w:headerReference w:type="default" r:id="rId7"/>
      <w:footerReference w:type="default" r:id="rId8"/>
      <w:pgSz w:w="11906" w:h="16838" w:orient="portrait"/>
      <w:pgMar w:top="1500" w:right="432" w:bottom="994" w:left="432" w:header="706" w:footer="706"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Page </w:t>
    </w:r>
    <w:r>
      <w:rPr>
        <w:rFonts w:ascii="Arial" w:cs="Arial" w:eastAsia="Arial" w:hAnsi="Arial"/>
        <w:color w:val="66666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A291C" w:sz="12" w:space="4"/>
      </w:pBdr>
    </w:pPr>
    <w:r>
      <w:drawing>
        <wp:inline distT="0" distB="0" distL="0" distR="0">
          <wp:extent cx="323850" cy="28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323850" cy="285750"/>
                  </a:xfrm>
                  <a:prstGeom prst="rect">
                    <a:avLst/>
                  </a:prstGeom>
                </pic:spPr>
              </pic:pic>
            </a:graphicData>
          </a:graphic>
        </wp:inline>
      </w:drawing>
    </w:r>
    <w:r>
      <w:rPr>
        <w:rFonts w:ascii="Arial" w:cs="Arial" w:eastAsia="Arial" w:hAnsi="Arial"/>
        <w:b/>
        <w:bCs/>
        <w:color w:val="27251F"/>
        <w:sz w:val="18"/>
        <w:szCs w:val="18"/>
      </w:rPr>
      <w:t xml:space="preserve">   McDonald's Egypt - Crew Insights Hub  |  User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60" w:before="120"/>
      <w:outlineLvl w:val="0"/>
    </w:pPr>
    <w:rPr>
      <w:rFonts w:ascii="Arial" w:cs="Arial" w:eastAsia="Arial" w:hAnsi="Arial"/>
      <w:b/>
      <w:bCs/>
      <w:color w:val="DA291C"/>
      <w:sz w:val="40"/>
      <w:szCs w:val="40"/>
    </w:rPr>
  </w:style>
  <w:style w:type="paragraph" w:styleId="Heading2">
    <w:name w:val="Heading 2"/>
    <w:basedOn w:val="Normal"/>
    <w:next w:val="Normal"/>
    <w:qFormat/>
    <w:pPr>
      <w:keepNext/>
      <w:pBdr>
        <w:left w:val="single" w:color="DA291C" w:sz="24" w:space="6"/>
      </w:pBdr>
      <w:spacing w:after="100" w:before="260"/>
      <w:outlineLvl w:val="1"/>
    </w:pPr>
    <w:rPr>
      <w:rFonts w:ascii="Arial" w:cs="Arial" w:eastAsia="Arial" w:hAnsi="Arial"/>
      <w:b/>
      <w:bCs/>
      <w:color w:val="27251F"/>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d13b3953f9864f60423edd8ab0cfe01bcd523310.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Quick Reference</dc:title>
  <dc:creator>McDonald's Egypt</dc:creator>
  <cp:lastModifiedBy>Un-named</cp:lastModifiedBy>
  <cp:revision>1</cp:revision>
  <dcterms:created xsi:type="dcterms:W3CDTF">2026-10-06T20:09:07.418Z</dcterms:created>
  <dcterms:modified xsi:type="dcterms:W3CDTF">2026-10-06T20:09:07.419Z</dcterms:modified>
</cp:coreProperties>
</file>

<file path=docProps/custom.xml><?xml version="1.0" encoding="utf-8"?>
<Properties xmlns="http://schemas.openxmlformats.org/officeDocument/2006/custom-properties" xmlns:vt="http://schemas.openxmlformats.org/officeDocument/2006/docPropsVTypes"/>
</file>