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Scorecard</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Scorecard</w:t>
      </w:r>
    </w:p>
    <w:p>
      <w:pPr>
        <w:spacing w:after="90" w:line="290"/>
      </w:pPr>
      <w:r>
        <w:rPr>
          <w:rFonts w:ascii="Arial" w:cs="Arial" w:eastAsia="Arial" w:hAnsi="Arial"/>
          <w:color w:val="27251F"/>
          <w:sz w:val="21"/>
          <w:szCs w:val="21"/>
        </w:rPr>
        <w:t xml:space="preserve">Use this page to compare Store Leaders. It scores every Store Leader (and rolls that up by Operation Consultant and Operation Manager) on four metrics: Turnover Rate, Early Leaver (90-Day) Rate, 180-Day Retention Rate and Exit Sentiment, so leadership performance can be ranked and tracked over time, not just store performance.</w:t>
      </w:r>
    </w:p>
    <w:p>
      <w:pPr>
        <w:pStyle w:val="Heading2"/>
      </w:pPr>
      <w:r>
        <w:t xml:space="preserve">Step 1 - Choose the period and your reporting line</w:t>
      </w:r>
    </w:p>
    <w:p>
      <w:pPr>
        <w:keepNext/>
        <w:spacing w:after="120" w:before="60"/>
        <w:jc w:val="center"/>
      </w:pPr>
      <w:r>
        <w:drawing>
          <wp:inline distT="0" distB="0" distL="0" distR="0">
            <wp:extent cx="69532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53250" cy="933450"/>
                    </a:xfrm>
                    <a:prstGeom prst="rect">
                      <a:avLst/>
                    </a:prstGeom>
                  </pic:spPr>
                </pic:pic>
              </a:graphicData>
            </a:graphic>
          </wp:inline>
        </w:drawing>
      </w:r>
    </w:p>
    <w:p>
      <w:pPr>
        <w:spacing w:after="70" w:line="270"/>
      </w:pPr>
      <w:r>
        <w:rPr>
          <w:rFonts w:ascii="Arial" w:cs="Arial" w:eastAsia="Arial" w:hAnsi="Arial"/>
          <w:color w:val="27251F"/>
          <w:sz w:val="21"/>
          <w:szCs w:val="21"/>
        </w:rPr>
        <w:t xml:space="preserve">Choosing an Operation Manager, Operation Consultant, Senior Operation Consultant or Operation Director filters the ranking and the rollups to just their reporting line. The Year/Months filter sets which period's data feeds every metric on the page.</w:t>
      </w:r>
    </w:p>
    <w:p>
      <w:pPr>
        <w:pStyle w:val="Heading2"/>
      </w:pPr>
      <w:r>
        <w:t xml:space="preserve">Step 2 - Read the headline numbers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90675" cy="8477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Average Turnover and how many leaders are Above Average.</w:t>
      </w:r>
    </w:p>
    <w:p>
      <w:pPr>
        <w:pStyle w:val="Heading2"/>
      </w:pPr>
      <w:r>
        <w:t xml:space="preserve">Step 3 - Read the Smart Insights</w:t>
      </w:r>
    </w:p>
    <w:p>
      <w:pPr>
        <w:keepNext/>
        <w:spacing w:after="120" w:before="60"/>
        <w:jc w:val="center"/>
      </w:pPr>
      <w:r>
        <w:drawing>
          <wp:inline distT="0" distB="0" distL="0" distR="0">
            <wp:extent cx="6953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953250" cy="96202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such as the best performing leader, worked out from the ranking below.</w:t>
      </w:r>
    </w:p>
    <w:p>
      <w:pPr>
        <w:pStyle w:val="Heading2"/>
      </w:pPr>
      <w:r>
        <w:t xml:space="preserve">Step 4 - Rank the Store Leaders</w:t>
      </w:r>
    </w:p>
    <w:p>
      <w:pPr>
        <w:keepNext/>
        <w:spacing w:after="120" w:before="60"/>
        <w:jc w:val="center"/>
      </w:pPr>
      <w:r>
        <w:drawing>
          <wp:inline distT="0" distB="0" distL="0" distR="0">
            <wp:extent cx="6953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53250" cy="3067050"/>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Store Leader ranked by Turnover Rate, Early Leaver Rate, 180-Day Retention Rate and Exit Sentiment side by side. It is sorted with the worst Turnover Rate first by default - click any column header to re-sort, and use the search box to find a leader.</w:t>
      </w:r>
    </w:p>
    <w:p>
      <w:pPr>
        <w:spacing w:after="70" w:line="270"/>
      </w:pPr>
      <w:r>
        <w:rPr>
          <w:rFonts w:ascii="Arial" w:cs="Arial" w:eastAsia="Arial" w:hAnsi="Arial"/>
          <w:color w:val="27251F"/>
          <w:sz w:val="21"/>
          <w:szCs w:val="21"/>
        </w:rPr>
        <w:t xml:space="preserve">Use the "Track a Store Leader" search box above the ranking to pick a leader and see their turnover rate trend over time across every store they have led, including a marker where they were transferred between stores, so a change in rate can be told apart from a change of store. (Clicking a leader's name in the ranking opens their own page instead - see below.)</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leaders who are weak on several of the four metrics at once, not just one.</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agree support or coaching with the Operation Consultant of the leaders at the top of the list.</w:t>
      </w:r>
    </w:p>
    <w:p>
      <w:pPr>
        <w:pStyle w:val="Heading2"/>
      </w:pPr>
      <w:r>
        <w:t xml:space="preserve">Step 5 - Who oversees the weakest leaders?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300990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86125" cy="914400"/>
                          </a:xfrm>
                          <a:prstGeom prst="rect">
                            <a:avLst/>
                          </a:prstGeom>
                        </pic:spPr>
                      </pic:pic>
                    </a:graphicData>
                  </a:graphic>
                </wp:inline>
              </w:drawing>
            </w:r>
          </w:p>
          <w:p>
            <w:pPr>
              <w:keepNext/>
              <w:spacing w:after="120" w:before="60"/>
              <w:jc w:val="center"/>
            </w:pPr>
            <w:r>
              <w:drawing>
                <wp:inline distT="0" distB="0" distL="0" distR="0">
                  <wp:extent cx="328612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86125" cy="1095375"/>
                          </a:xfrm>
                          <a:prstGeom prst="rect">
                            <a:avLst/>
                          </a:prstGeom>
                        </pic:spPr>
                      </pic:pic>
                    </a:graphicData>
                  </a:graphic>
                </wp:inline>
              </w:drawing>
            </w:r>
          </w:p>
          <w:p>
            <w:pPr>
              <w:keepNext/>
              <w:spacing w:after="120" w:before="60"/>
              <w:jc w:val="center"/>
            </w:pPr>
            <w:r>
              <w:drawing>
                <wp:inline distT="0" distB="0" distL="0" distR="0">
                  <wp:extent cx="3286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86125" cy="914400"/>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For each Operation Consultant, Operation Manager, Senior Operation Consultant and Operation Director: how many Store Leaders they oversee, how many of those leaders are "flagged" (their Turnover Rate is above the average Turnover Rate of all leaders in the selected period) and what percentage that represents.</w:t>
      </w:r>
    </w:p>
    <w:p>
      <w:pPr>
        <w:pStyle w:val="Heading2"/>
        <w:pageBreakBefore/>
      </w:pPr>
      <w:r>
        <w:t xml:space="preserve">Inside a Store Leader (Store Leader Profile)</w:t>
      </w:r>
    </w:p>
    <w:p>
      <w:pPr>
        <w:spacing w:after="90" w:line="290"/>
      </w:pPr>
      <w:r>
        <w:rPr>
          <w:rFonts w:ascii="Arial" w:cs="Arial" w:eastAsia="Arial" w:hAnsi="Arial"/>
          <w:color w:val="27251F"/>
          <w:sz w:val="21"/>
          <w:szCs w:val="21"/>
        </w:rPr>
        <w:t xml:space="preserve">Click a Store Leader's name in the ranking to open their own page, called Store Leader Tracking. It gives the history, performance, workforce movement and exit sentiment for that one leader in the period you selected on the Scorecard, across every store they led in that period. Use "Back to Scorecard" at the top to return.</w:t>
      </w:r>
    </w:p>
    <w:p>
      <w:pPr>
        <w:keepNext w:val="false"/>
        <w:spacing w:after="120" w:before="60"/>
        <w:jc w:val="center"/>
      </w:pPr>
      <w:r>
        <w:drawing>
          <wp:inline distT="0" distB="0" distL="0" distR="0">
            <wp:extent cx="69532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953250" cy="714375"/>
                    </a:xfrm>
                    <a:prstGeom prst="rect">
                      <a:avLst/>
                    </a:prstGeom>
                  </pic:spPr>
                </pic:pic>
              </a:graphicData>
            </a:graphic>
          </wp:inline>
        </w:drawing>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90675" cy="1181100"/>
                          </a:xfrm>
                          <a:prstGeom prst="rect">
                            <a:avLst/>
                          </a:prstGeom>
                        </pic:spPr>
                      </pic:pic>
                    </a:graphicData>
                  </a:graphic>
                </wp:inline>
              </w:drawing>
            </w:r>
          </w:p>
        </w:tc>
      </w:tr>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90675" cy="1181100"/>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color w:val="27251F"/>
          <w:sz w:val="21"/>
          <w:szCs w:val="21"/>
        </w:rPr>
        <w:t xml:space="preserve">The five cards repeat the four scorecard metrics (Turnover, 90-Day, 180-Day retention and Exit Sentiment) plus the headcount. Turnover shows the number of resignations beneath it, and Headcount and Exit Sentiment show the number of exit responses.</w:t>
      </w:r>
    </w:p>
    <w:p>
      <w:pPr>
        <w:pStyle w:val="Heading2"/>
      </w:pPr>
      <w:r>
        <w:t xml:space="preserve">Turnover and headcount, store by store</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86125" cy="1581150"/>
                          </a:xfrm>
                          <a:prstGeom prst="rect">
                            <a:avLst/>
                          </a:prstGeom>
                        </pic:spPr>
                      </pic:pic>
                    </a:graphicData>
                  </a:graphic>
                </wp:inline>
              </w:drawing>
            </w:r>
          </w:p>
          <w:p>
            <w:pPr>
              <w:spacing w:after="70" w:line="270"/>
            </w:pPr>
            <w:r>
              <w:rPr>
                <w:rFonts w:ascii="Arial" w:cs="Arial" w:eastAsia="Arial" w:hAnsi="Arial"/>
                <w:color w:val="27251F"/>
                <w:sz w:val="21"/>
                <w:szCs w:val="21"/>
              </w:rPr>
              <w:t xml:space="preserve">Monthly turnover rate and headcount across every store assignment, drawn as two lines. Transfers are not marked on the chart; they are flagged with a "Transferred here" badge in the assignment history table beside it, so a change in the rate can be told apart from a change of store.</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86125" cy="2219325"/>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 assignment history lists each store, period, headcount and turnover for the leader. Transfers are highlighted in the timeline.</w:t>
            </w:r>
          </w:p>
        </w:tc>
      </w:tr>
    </w:tbl>
    <w:p>
      <w:pPr>
        <w:spacing w:after="30"/>
      </w:pPr>
      <w:r>
        <w:rPr>
          <w:rFonts w:ascii="Arial" w:cs="Arial" w:eastAsia="Arial" w:hAnsi="Arial"/>
          <w:color w:val="27251F"/>
          <w:sz w:val="21"/>
          <w:szCs w:val="21"/>
        </w:rPr>
        <w:t xml:space="preserve"/>
      </w:r>
    </w:p>
    <w:p>
      <w:pPr>
        <w:pStyle w:val="Heading2"/>
      </w:pPr>
      <w:r>
        <w:t xml:space="preserve">What leaving employees say about this leader's stores</w:t>
      </w:r>
    </w:p>
    <w:p>
      <w:pPr>
        <w:spacing w:after="90" w:line="290"/>
      </w:pPr>
      <w:r>
        <w:rPr>
          <w:rFonts w:ascii="Arial" w:cs="Arial" w:eastAsia="Arial" w:hAnsi="Arial"/>
          <w:color w:val="27251F"/>
          <w:sz w:val="21"/>
          <w:szCs w:val="21"/>
        </w:rPr>
        <w:t xml:space="preserve">Anonymous exit-interview signals for the stores this leader runs.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86125" cy="1676400"/>
                          </a:xfrm>
                          <a:prstGeom prst="rect">
                            <a:avLst/>
                          </a:prstGeom>
                        </pic:spPr>
                      </pic:pic>
                    </a:graphicData>
                  </a:graphic>
                </wp:inline>
              </w:drawing>
            </w:r>
          </w:p>
          <w:p>
            <w:pPr>
              <w:spacing w:after="70" w:line="270"/>
            </w:pPr>
            <w:r>
              <w:rPr>
                <w:rFonts w:ascii="Arial" w:cs="Arial" w:eastAsia="Arial" w:hAnsi="Arial"/>
                <w:color w:val="27251F"/>
                <w:sz w:val="21"/>
                <w:szCs w:val="21"/>
              </w:rPr>
              <w:t xml:space="preserve">Exit Sentiment: the top leaving reasons over time.</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86125" cy="1676400"/>
                          </a:xfrm>
                          <a:prstGeom prst="rect">
                            <a:avLst/>
                          </a:prstGeom>
                        </pic:spPr>
                      </pic:pic>
                    </a:graphicData>
                  </a:graphic>
                </wp:inline>
              </w:drawing>
            </w:r>
          </w:p>
          <w:p>
            <w:pPr>
              <w:spacing w:after="70" w:line="270"/>
            </w:pPr>
            <w:r>
              <w:rPr>
                <w:rFonts w:ascii="Arial" w:cs="Arial" w:eastAsia="Arial" w:hAnsi="Arial"/>
                <w:color w:val="27251F"/>
                <w:sz w:val="21"/>
                <w:szCs w:val="21"/>
              </w:rPr>
              <w:t xml:space="preserve">Reasons for Leaving: the reasons employees gave for resigning.</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86125" cy="3305175"/>
                          </a:xfrm>
                          <a:prstGeom prst="rect">
                            <a:avLst/>
                          </a:prstGeom>
                        </pic:spPr>
                      </pic:pic>
                    </a:graphicData>
                  </a:graphic>
                </wp:inline>
              </w:drawing>
            </w:r>
          </w:p>
          <w:p>
            <w:pPr>
              <w:spacing w:after="70" w:line="270"/>
            </w:pPr>
            <w:r>
              <w:rPr>
                <w:rFonts w:ascii="Arial" w:cs="Arial" w:eastAsia="Arial" w:hAnsi="Arial"/>
                <w:color w:val="27251F"/>
                <w:sz w:val="21"/>
                <w:szCs w:val="21"/>
              </w:rPr>
              <w:t xml:space="preserve">Would Return: whether leaving employees would consider coming back.</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86125" cy="3305175"/>
                          </a:xfrm>
                          <a:prstGeom prst="rect">
                            <a:avLst/>
                          </a:prstGeom>
                        </pic:spPr>
                      </pic:pic>
                    </a:graphicData>
                  </a:graphic>
                </wp:inline>
              </w:drawing>
            </w:r>
          </w:p>
          <w:p>
            <w:pPr>
              <w:spacing w:after="70" w:line="270"/>
            </w:pPr>
            <w:r>
              <w:rPr>
                <w:rFonts w:ascii="Arial" w:cs="Arial" w:eastAsia="Arial" w:hAnsi="Arial"/>
                <w:color w:val="27251F"/>
                <w:sz w:val="21"/>
                <w:szCs w:val="21"/>
              </w:rPr>
              <w:t xml:space="preserve">Overall Experience: how leaving employees rated their experience.</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86125" cy="3305175"/>
                          </a:xfrm>
                          <a:prstGeom prst="rect">
                            <a:avLst/>
                          </a:prstGeom>
                        </pic:spPr>
                      </pic:pic>
                    </a:graphicData>
                  </a:graphic>
                </wp:inline>
              </w:drawing>
            </w:r>
          </w:p>
          <w:p>
            <w:pPr>
              <w:spacing w:after="70" w:line="270"/>
            </w:pPr>
            <w:r>
              <w:rPr>
                <w:rFonts w:ascii="Arial" w:cs="Arial" w:eastAsia="Arial" w:hAnsi="Arial"/>
                <w:color w:val="27251F"/>
                <w:sz w:val="21"/>
                <w:szCs w:val="21"/>
              </w:rPr>
              <w:t xml:space="preserve">Engagement Drivers: the share who answered positively on each driver, lowest first.</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86125" cy="1362075"/>
                          </a:xfrm>
                          <a:prstGeom prst="rect">
                            <a:avLst/>
                          </a:prstGeom>
                        </pic:spPr>
                      </pic:pic>
                    </a:graphicData>
                  </a:graphic>
                </wp:inline>
              </w:drawing>
            </w:r>
          </w:p>
          <w:p>
            <w:pPr>
              <w:spacing w:after="70" w:line="270"/>
            </w:pPr>
            <w:r>
              <w:rPr>
                <w:rFonts w:ascii="Arial" w:cs="Arial" w:eastAsia="Arial" w:hAnsi="Arial"/>
                <w:color w:val="27251F"/>
                <w:sz w:val="21"/>
                <w:szCs w:val="21"/>
              </w:rPr>
              <w:t xml:space="preserve">Leaving Reason vs Would Return: for each top reason, the share who said they would work here again.</w:t>
            </w:r>
          </w:p>
        </w:tc>
      </w:tr>
    </w:tbl>
    <w:p>
      <w:pPr>
        <w:spacing w:after="30"/>
      </w:pPr>
      <w:r>
        <w:rPr>
          <w:rFonts w:ascii="Arial" w:cs="Arial" w:eastAsia="Arial" w:hAnsi="Arial"/>
          <w:color w:val="27251F"/>
          <w:sz w:val="21"/>
          <w:szCs w:val="21"/>
        </w:rPr>
        <w:t xml:space="preserve"/>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86125" cy="1733550"/>
                          </a:xfrm>
                          <a:prstGeom prst="rect">
                            <a:avLst/>
                          </a:prstGeom>
                        </pic:spPr>
                      </pic:pic>
                    </a:graphicData>
                  </a:graphic>
                </wp:inline>
              </w:drawing>
            </w:r>
          </w:p>
          <w:p>
            <w:pPr>
              <w:keepNext/>
              <w:spacing w:after="120" w:before="60"/>
              <w:jc w:val="center"/>
            </w:pPr>
            <w:r>
              <w:drawing>
                <wp:inline distT="0" distB="0" distL="0" distR="0">
                  <wp:extent cx="32861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17335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86125" cy="1733550"/>
                          </a:xfrm>
                          <a:prstGeom prst="rect">
                            <a:avLst/>
                          </a:prstGeom>
                        </pic:spPr>
                      </pic:pic>
                    </a:graphicData>
                  </a:graphic>
                </wp:inline>
              </w:drawing>
            </w:r>
          </w:p>
        </w:tc>
      </w:tr>
    </w:tbl>
    <w:p>
      <w:pPr>
        <w:spacing w:after="70" w:line="270"/>
      </w:pPr>
      <w:r>
        <w:rPr>
          <w:rFonts w:ascii="Arial" w:cs="Arial" w:eastAsia="Arial" w:hAnsi="Arial"/>
          <w:color w:val="27251F"/>
          <w:sz w:val="21"/>
          <w:szCs w:val="21"/>
        </w:rPr>
        <w:t xml:space="preserve">Workload Condition, Training and Fair Treatment: how leaving employees rated each of them.</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86125" cy="1362075"/>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spacing w:after="70" w:line="270"/>
            </w:pPr>
            <w:r>
              <w:rPr>
                <w:rFonts w:ascii="Arial" w:cs="Arial" w:eastAsia="Arial" w:hAnsi="Arial"/>
                <w:color w:val="27251F"/>
                <w:sz w:val="21"/>
                <w:szCs w:val="21"/>
              </w:rPr>
              <w:t xml:space="preserve">Exit Responses by Job Title: the exit responses grouped by the leaving employee's job title.</w:t>
            </w:r>
          </w:p>
        </w:tc>
      </w:tr>
    </w:tbl>
    <w:p>
      <w:pPr>
        <w:spacing w:after="30"/>
      </w:pPr>
      <w:r>
        <w:rPr>
          <w:rFonts w:ascii="Arial" w:cs="Arial" w:eastAsia="Arial" w:hAnsi="Arial"/>
          <w:color w:val="27251F"/>
          <w:sz w:val="21"/>
          <w:szCs w:val="21"/>
        </w:rPr>
        <w:t xml:space="preserve"/>
      </w:r>
    </w:p>
    <w:p>
      <w:pPr>
        <w:keepNext/>
        <w:spacing w:after="120" w:before="60"/>
        <w:jc w:val="center"/>
      </w:pPr>
      <w:r>
        <w:drawing>
          <wp:inline distT="0" distB="0" distL="0" distR="0">
            <wp:extent cx="6953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953250" cy="2305050"/>
                    </a:xfrm>
                    <a:prstGeom prst="rect">
                      <a:avLst/>
                    </a:prstGeom>
                  </pic:spPr>
                </pic:pic>
              </a:graphicData>
            </a:graphic>
          </wp:inline>
        </w:drawing>
      </w:r>
    </w:p>
    <w:p>
      <w:pPr>
        <w:spacing w:after="70" w:line="270"/>
      </w:pPr>
      <w:r>
        <w:rPr>
          <w:rFonts w:ascii="Arial" w:cs="Arial" w:eastAsia="Arial" w:hAnsi="Arial"/>
          <w:color w:val="27251F"/>
          <w:sz w:val="21"/>
          <w:szCs w:val="21"/>
        </w:rPr>
        <w:t xml:space="preserve">Anonymous Exit Comments: the free-text comments left in exit interviews for this leader's stores, with the store, the question, the comment and the date.</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whether a drop in the leader's turnover or a rise in exit sentiment lines up with a transfer to another store.</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use this page to prepare a fair, evidence-based conversation with the leader and their Operation Consultant.</w:t>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21e13345799a56e8a506281d407190ac05f1ac.png"/><Relationship Id="rId10" Type="http://schemas.openxmlformats.org/officeDocument/2006/relationships/image" Target="media/ccc5e1bc2a8c669259e06fd6981daa329aeee105.png"/><Relationship Id="rId11" Type="http://schemas.openxmlformats.org/officeDocument/2006/relationships/image" Target="media/08d26b8c1a1bc6cd8f7927dfb28bc74c31af3a7e.png"/><Relationship Id="rId12" Type="http://schemas.openxmlformats.org/officeDocument/2006/relationships/image" Target="media/de2c44f939c6b74b2ee6b4cac38279d7a0bdbab3.png"/><Relationship Id="rId13" Type="http://schemas.openxmlformats.org/officeDocument/2006/relationships/image" Target="media/f7be51b512b35b608f72e8b871d77a42f4d73278.png"/><Relationship Id="rId14" Type="http://schemas.openxmlformats.org/officeDocument/2006/relationships/image" Target="media/c22e73d8a6bbe6db7550640214e681a2c601c6f7.png"/><Relationship Id="rId15" Type="http://schemas.openxmlformats.org/officeDocument/2006/relationships/image" Target="media/28796d040a1afafcddeca63a557164a243a5e8b9.png"/><Relationship Id="rId16" Type="http://schemas.openxmlformats.org/officeDocument/2006/relationships/image" Target="media/090d5136a0d292329e35a3bed7b95be02e30ddcf.png"/><Relationship Id="rId17" Type="http://schemas.openxmlformats.org/officeDocument/2006/relationships/image" Target="media/0a8080cd6bf881d996480b1ebcadefcb2028bd97.png"/><Relationship Id="rId18" Type="http://schemas.openxmlformats.org/officeDocument/2006/relationships/image" Target="media/d3b45e63f29c6032e4e94a9038e3be21175a8695.png"/><Relationship Id="rId19" Type="http://schemas.openxmlformats.org/officeDocument/2006/relationships/image" Target="media/067d1eb7d403d92876f106240d2d93d90529e284.png"/><Relationship Id="rId20" Type="http://schemas.openxmlformats.org/officeDocument/2006/relationships/image" Target="media/658db6c5ffdc9f7ae0f835f8e93227d226a5e464.png"/><Relationship Id="rId21" Type="http://schemas.openxmlformats.org/officeDocument/2006/relationships/image" Target="media/814272b3ccfcd84332d917021bbefa21f2895a09.png"/><Relationship Id="rId22" Type="http://schemas.openxmlformats.org/officeDocument/2006/relationships/image" Target="media/b7a2c73c71e7e72e4a3eed938558c0cb5c7a6575.png"/><Relationship Id="rId23" Type="http://schemas.openxmlformats.org/officeDocument/2006/relationships/image" Target="media/a2158a13bcfcba138d9731c463b28bf26dd90554.png"/><Relationship Id="rId24" Type="http://schemas.openxmlformats.org/officeDocument/2006/relationships/image" Target="media/42641912db6f5e305ee4a9825f9d2760ac492419.png"/><Relationship Id="rId25" Type="http://schemas.openxmlformats.org/officeDocument/2006/relationships/image" Target="media/ef0f908004e0fbc8033ea8478d5501c0d0ce0b3f.png"/><Relationship Id="rId26" Type="http://schemas.openxmlformats.org/officeDocument/2006/relationships/image" Target="media/211e5f4c8bb1b5c20093f5c5966cde2644c61d09.png"/><Relationship Id="rId27" Type="http://schemas.openxmlformats.org/officeDocument/2006/relationships/image" Target="media/9e308a92231c868e0fabcba2b9e8e7ad568e2b0e.png"/><Relationship Id="rId28" Type="http://schemas.openxmlformats.org/officeDocument/2006/relationships/image" Target="media/0373997e4745252e77340cdaa4f2acb5b72c7f4f.png"/><Relationship Id="rId29" Type="http://schemas.openxmlformats.org/officeDocument/2006/relationships/image" Target="media/8d44b21f57b3585bf5b75e8e6d80de951d79e55f.png"/><Relationship Id="rId30" Type="http://schemas.openxmlformats.org/officeDocument/2006/relationships/image" Target="media/8164c40900dcae9060288a7e98e9fc251526fee1.png"/><Relationship Id="rId31" Type="http://schemas.openxmlformats.org/officeDocument/2006/relationships/image" Target="media/f507a2812ae857a04a16be5e842fb81554f533c0.png"/><Relationship Id="rId32" Type="http://schemas.openxmlformats.org/officeDocument/2006/relationships/image" Target="media/d771a7a4fae8362bdf97db599e46b66f54a6182f.png"/><Relationship Id="rId33" Type="http://schemas.openxmlformats.org/officeDocument/2006/relationships/image" Target="media/14d5ceb070549920f4d6b6ec15bc320b67628e46.png"/><Relationship Id="rId34" Type="http://schemas.openxmlformats.org/officeDocument/2006/relationships/image" Target="media/c911f7309a5ae2fc4589efa3435bd6c1b6384956.png"/><Relationship Id="rId35" Type="http://schemas.openxmlformats.org/officeDocument/2006/relationships/image" Target="media/80d54d4646c33db3e93799bfc2bd68fd8858cbc5.png"/><Relationship Id="rId36" Type="http://schemas.openxmlformats.org/officeDocument/2006/relationships/image" Target="media/003def4b05e486516921fa5bbc7dbe8cc32fa235.png"/><Relationship Id="rId37" Type="http://schemas.openxmlformats.org/officeDocument/2006/relationships/image" Target="media/e471127d39ed4d9cbbd53a1a29a8f1c18e1ebebf.png"/><Relationship Id="rId38" Type="http://schemas.openxmlformats.org/officeDocument/2006/relationships/image" Target="media/e4f32f941c1dbedc324b7aa2a88a5b85eb5b2f5a.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dc:title>
  <dc:creator>McDonald's Egypt</dc:creator>
  <cp:lastModifiedBy>Un-named</cp:lastModifiedBy>
  <cp:revision>1</cp:revision>
  <dcterms:created xsi:type="dcterms:W3CDTF">2026-10-06T20:09:10.889Z</dcterms:created>
  <dcterms:modified xsi:type="dcterms:W3CDTF">2026-10-06T20:09:10.889Z</dcterms:modified>
</cp:coreProperties>
</file>

<file path=docProps/custom.xml><?xml version="1.0" encoding="utf-8"?>
<Properties xmlns="http://schemas.openxmlformats.org/officeDocument/2006/custom-properties" xmlns:vt="http://schemas.openxmlformats.org/officeDocument/2006/docPropsVTypes"/>
</file>