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ageBreakBefore/>
      </w:pPr>
      <w:r>
        <w:t xml:space="preserve">Workforce Overview</w:t>
      </w:r>
    </w:p>
    <w:p>
      <w:pPr>
        <w:spacing w:after="90" w:line="290"/>
      </w:pPr>
      <w:r>
        <w:rPr>
          <w:rFonts w:ascii="Arial" w:cs="Arial" w:eastAsia="Arial" w:hAnsi="Arial"/>
          <w:color w:val="666666"/>
          <w:sz w:val="19"/>
          <w:szCs w:val="19"/>
        </w:rPr>
        <w:t xml:space="preserve">Where to find it: </w:t>
      </w:r>
      <w:r>
        <w:rPr>
          <w:rFonts w:ascii="Arial" w:cs="Arial" w:eastAsia="Arial" w:hAnsi="Arial"/>
          <w:color w:val="666666"/>
          <w:sz w:val="19"/>
          <w:szCs w:val="19"/>
        </w:rPr>
        <w:t xml:space="preserve">Side menu  &gt;  Workforce Overview</w:t>
      </w:r>
    </w:p>
    <w:p>
      <w:pPr>
        <w:spacing w:after="90" w:line="290"/>
      </w:pPr>
      <w:r>
        <w:rPr>
          <w:rFonts w:ascii="Arial" w:cs="Arial" w:eastAsia="Arial" w:hAnsi="Arial"/>
          <w:color w:val="27251F"/>
          <w:sz w:val="21"/>
          <w:szCs w:val="21"/>
        </w:rPr>
        <w:t xml:space="preserve">Use this page to answer one question: who works for me right now, and is the team in good shape? It is a snapshot of your active headcount, so most charts here count current employees, not resignations (that is the Turnover page).</w:t>
      </w:r>
    </w:p>
    <w:p>
      <w:pPr>
        <w:pStyle w:val="Heading2"/>
      </w:pPr>
      <w:r>
        <w:t xml:space="preserve">Step 1 - Choose your scope</w:t>
      </w:r>
    </w:p>
    <w:p>
      <w:pPr>
        <w:keepNext/>
        <w:spacing w:after="120" w:before="60"/>
        <w:jc w:val="center"/>
      </w:pPr>
      <w:r>
        <w:drawing>
          <wp:inline distT="0" distB="0" distL="0" distR="0">
            <wp:extent cx="5715000" cy="45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457200"/>
                    </a:xfrm>
                    <a:prstGeom prst="rect">
                      <a:avLst/>
                    </a:prstGeom>
                  </pic:spPr>
                </pic:pic>
              </a:graphicData>
            </a:graphic>
          </wp:inline>
        </w:drawing>
      </w:r>
    </w:p>
    <w:p>
      <w:pPr>
        <w:spacing w:after="90" w:line="290"/>
      </w:pPr>
      <w:r>
        <w:rPr>
          <w:rFonts w:ascii="Arial" w:cs="Arial" w:eastAsia="Arial" w:hAnsi="Arial"/>
          <w:color w:val="27251F"/>
          <w:sz w:val="21"/>
          <w:szCs w:val="21"/>
        </w:rPr>
        <w:t xml:space="preserve">Pick a Store, Operation Manager, Operation Consultant, Senior Operation Consultant, Operation Director or Job, and every chart and table on the page switches to that selection. Press Reset Filters to return to the full picture.</w:t>
      </w:r>
    </w:p>
    <w:p>
      <w:pPr>
        <w:spacing w:after="90" w:line="290"/>
      </w:pPr>
      <w:r>
        <w:rPr>
          <w:rFonts w:ascii="Arial" w:cs="Arial" w:eastAsia="Arial" w:hAnsi="Arial"/>
          <w:b/>
          <w:bCs/>
          <w:color w:val="27251F"/>
          <w:sz w:val="21"/>
          <w:szCs w:val="21"/>
        </w:rPr>
        <w:t xml:space="preserve">Good to know: </w:t>
      </w:r>
      <w:r>
        <w:rPr>
          <w:rFonts w:ascii="Arial" w:cs="Arial" w:eastAsia="Arial" w:hAnsi="Arial"/>
          <w:color w:val="27251F"/>
          <w:sz w:val="21"/>
          <w:szCs w:val="21"/>
        </w:rPr>
        <w:t xml:space="preserve">the From/To period changes the cards, the breakdown charts and the tables, but not the Headcount Over Time chart, which always shows the full history from the selected year.</w:t>
      </w:r>
    </w:p>
    <w:p>
      <w:pPr>
        <w:pStyle w:val="Heading2"/>
      </w:pPr>
      <w:r>
        <w:t xml:space="preserve">Step 2 - Read the headline numbers</w:t>
      </w:r>
    </w:p>
    <w:tbl>
      <w:tblPr>
        <w:tblW w:type="dxa" w:w="9399"/>
        <w:jc w:val="center"/>
        <w:tblBorders>
          <w:top w:val="single" w:color="auto" w:sz="4"/>
          <w:left w:val="single" w:color="auto" w:sz="4"/>
          <w:bottom w:val="single" w:color="auto" w:sz="4"/>
          <w:right w:val="single" w:color="auto" w:sz="4"/>
          <w:insideH w:val="single" w:color="auto" w:sz="4"/>
          <w:insideV w:val="single" w:color="auto" w:sz="4"/>
        </w:tblBorders>
      </w:tblPr>
      <w:tblGrid>
        <w:gridCol w:w="3133"/>
        <w:gridCol w:w="3133"/>
        <w:gridCol w:w="3133"/>
      </w:tblGrid>
      <w:tr>
        <w:trPr>
          <w:cantSplit/>
        </w:trPr>
        <w:tc>
          <w:tcPr>
            <w:tcW w:type="dxa" w:w="3133"/>
            <w:tcBorders>
              <w:top w:val="none" w:color="FFFFFF" w:sz="0"/>
              <w:left w:val="none" w:color="FFFFFF" w:sz="0"/>
              <w:bottom w:val="none" w:color="FFFFFF" w:sz="0"/>
              <w:right w:val="none" w:color="FFFFFF" w:sz="0"/>
            </w:tcBorders>
            <w:tcMar>
              <w:top w:type="dxa" w:w="40"/>
              <w:left w:type="dxa" w:w="40"/>
              <w:bottom w:type="dxa" w:w="80"/>
              <w:right w:type="dxa" w:w="40"/>
            </w:tcMar>
          </w:tcPr>
          <w:p>
            <w:pPr>
              <w:jc w:val="center"/>
            </w:pPr>
            <w:r>
              <w:drawing>
                <wp:inline distT="0" distB="0" distL="0" distR="0">
                  <wp:extent cx="1809750" cy="714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809750" cy="714375"/>
                          </a:xfrm>
                          <a:prstGeom prst="rect">
                            <a:avLst/>
                          </a:prstGeom>
                        </pic:spPr>
                      </pic:pic>
                    </a:graphicData>
                  </a:graphic>
                </wp:inline>
              </w:drawing>
            </w:r>
          </w:p>
        </w:tc>
        <w:tc>
          <w:tcPr>
            <w:tcW w:type="dxa" w:w="3133"/>
            <w:tcBorders>
              <w:top w:val="none" w:color="FFFFFF" w:sz="0"/>
              <w:left w:val="none" w:color="FFFFFF" w:sz="0"/>
              <w:bottom w:val="none" w:color="FFFFFF" w:sz="0"/>
              <w:right w:val="none" w:color="FFFFFF" w:sz="0"/>
            </w:tcBorders>
            <w:tcMar>
              <w:top w:type="dxa" w:w="40"/>
              <w:left w:type="dxa" w:w="40"/>
              <w:bottom w:type="dxa" w:w="80"/>
              <w:right w:type="dxa" w:w="40"/>
            </w:tcMar>
          </w:tcPr>
          <w:p>
            <w:pPr>
              <w:jc w:val="center"/>
            </w:pPr>
            <w:r>
              <w:drawing>
                <wp:inline distT="0" distB="0" distL="0" distR="0">
                  <wp:extent cx="1809750" cy="714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809750" cy="714375"/>
                          </a:xfrm>
                          <a:prstGeom prst="rect">
                            <a:avLst/>
                          </a:prstGeom>
                        </pic:spPr>
                      </pic:pic>
                    </a:graphicData>
                  </a:graphic>
                </wp:inline>
              </w:drawing>
            </w:r>
          </w:p>
        </w:tc>
        <w:tc>
          <w:tcPr>
            <w:tcW w:type="dxa" w:w="3133"/>
            <w:tcBorders>
              <w:top w:val="none" w:color="FFFFFF" w:sz="0"/>
              <w:left w:val="none" w:color="FFFFFF" w:sz="0"/>
              <w:bottom w:val="none" w:color="FFFFFF" w:sz="0"/>
              <w:right w:val="none" w:color="FFFFFF" w:sz="0"/>
            </w:tcBorders>
            <w:tcMar>
              <w:top w:type="dxa" w:w="40"/>
              <w:left w:type="dxa" w:w="40"/>
              <w:bottom w:type="dxa" w:w="80"/>
              <w:right w:type="dxa" w:w="40"/>
            </w:tcMar>
          </w:tcPr>
          <w:p>
            <w:pPr>
              <w:jc w:val="center"/>
            </w:pPr>
            <w:r>
              <w:drawing>
                <wp:inline distT="0" distB="0" distL="0" distR="0">
                  <wp:extent cx="1809750" cy="714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809750" cy="714375"/>
                          </a:xfrm>
                          <a:prstGeom prst="rect">
                            <a:avLst/>
                          </a:prstGeom>
                        </pic:spPr>
                      </pic:pic>
                    </a:graphicData>
                  </a:graphic>
                </wp:inline>
              </w:drawing>
            </w:r>
          </w:p>
        </w:tc>
      </w:tr>
    </w:tbl>
    <w:p>
      <w:pPr>
        <w:spacing w:after="40"/>
      </w:pPr>
      <w:r>
        <w:rPr>
          <w:rFonts w:ascii="Arial" w:cs="Arial" w:eastAsia="Arial" w:hAnsi="Arial"/>
          <w:color w:val="27251F"/>
          <w:sz w:val="21"/>
          <w:szCs w:val="21"/>
        </w:rPr>
        <w:t xml:space="preserve"/>
      </w:r>
    </w:p>
    <w:p>
      <w:pPr>
        <w:spacing w:after="90" w:line="290"/>
      </w:pPr>
      <w:r>
        <w:rPr>
          <w:rFonts w:ascii="Arial" w:cs="Arial" w:eastAsia="Arial" w:hAnsi="Arial"/>
          <w:b/>
          <w:bCs/>
          <w:color w:val="27251F"/>
          <w:sz w:val="21"/>
          <w:szCs w:val="21"/>
        </w:rPr>
        <w:t xml:space="preserve">What to look at: </w:t>
      </w:r>
      <w:r>
        <w:rPr>
          <w:rFonts w:ascii="Arial" w:cs="Arial" w:eastAsia="Arial" w:hAnsi="Arial"/>
          <w:color w:val="27251F"/>
          <w:sz w:val="21"/>
          <w:szCs w:val="21"/>
        </w:rPr>
        <w:t xml:space="preserve">compare New Hires with Resignations.</w:t>
      </w:r>
    </w:p>
    <w:p>
      <w:pPr>
        <w:spacing w:after="90" w:line="290"/>
      </w:pPr>
      <w:r>
        <w:rPr>
          <w:rFonts w:ascii="Arial" w:cs="Arial" w:eastAsia="Arial" w:hAnsi="Arial"/>
          <w:b/>
          <w:bCs/>
          <w:color w:val="27251F"/>
          <w:sz w:val="21"/>
          <w:szCs w:val="21"/>
        </w:rPr>
        <w:t xml:space="preserve">Then decide: </w:t>
      </w:r>
      <w:r>
        <w:rPr>
          <w:rFonts w:ascii="Arial" w:cs="Arial" w:eastAsia="Arial" w:hAnsi="Arial"/>
          <w:color w:val="27251F"/>
          <w:sz w:val="21"/>
          <w:szCs w:val="21"/>
        </w:rPr>
        <w:t xml:space="preserve">if resignations are higher than hires, your headcount is shrinking. Check the trend chart below to see whether this is new.</w:t>
      </w:r>
    </w:p>
    <w:p>
      <w:pPr>
        <w:pStyle w:val="Heading2"/>
      </w:pPr>
      <w:r>
        <w:t xml:space="preserve">Step 3 - Is the headcount going the right way?</w:t>
      </w:r>
    </w:p>
    <w:p>
      <w:pPr>
        <w:keepNext/>
        <w:spacing w:after="120" w:before="60"/>
        <w:jc w:val="center"/>
      </w:pPr>
      <w:r>
        <w:drawing>
          <wp:inline distT="0" distB="0" distL="0" distR="0">
            <wp:extent cx="5715000" cy="1609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1609725"/>
                    </a:xfrm>
                    <a:prstGeom prst="rect">
                      <a:avLst/>
                    </a:prstGeom>
                  </pic:spPr>
                </pic:pic>
              </a:graphicData>
            </a:graphic>
          </wp:inline>
        </w:drawing>
      </w:r>
    </w:p>
    <w:p>
      <w:pPr>
        <w:spacing w:after="90" w:line="290"/>
      </w:pPr>
      <w:r>
        <w:rPr>
          <w:rFonts w:ascii="Arial" w:cs="Arial" w:eastAsia="Arial" w:hAnsi="Arial"/>
          <w:b/>
          <w:bCs/>
          <w:color w:val="27251F"/>
          <w:sz w:val="21"/>
          <w:szCs w:val="21"/>
        </w:rPr>
        <w:t xml:space="preserve">What to look at: </w:t>
      </w:r>
      <w:r>
        <w:rPr>
          <w:rFonts w:ascii="Arial" w:cs="Arial" w:eastAsia="Arial" w:hAnsi="Arial"/>
          <w:color w:val="27251F"/>
          <w:sz w:val="21"/>
          <w:szCs w:val="21"/>
        </w:rPr>
        <w:t xml:space="preserve">the direction of the line over the year.</w:t>
      </w:r>
    </w:p>
    <w:p>
      <w:pPr>
        <w:spacing w:after="90" w:line="290"/>
      </w:pPr>
      <w:r>
        <w:rPr>
          <w:rFonts w:ascii="Arial" w:cs="Arial" w:eastAsia="Arial" w:hAnsi="Arial"/>
          <w:b/>
          <w:bCs/>
          <w:color w:val="27251F"/>
          <w:sz w:val="21"/>
          <w:szCs w:val="21"/>
        </w:rPr>
        <w:t xml:space="preserve">Then decide: </w:t>
      </w:r>
      <w:r>
        <w:rPr>
          <w:rFonts w:ascii="Arial" w:cs="Arial" w:eastAsia="Arial" w:hAnsi="Arial"/>
          <w:color w:val="27251F"/>
          <w:sz w:val="21"/>
          <w:szCs w:val="21"/>
        </w:rPr>
        <w:t xml:space="preserve">a falling line means you are losing people faster than you add them. Use the filters to find which store or manager the drop comes from.</w:t>
      </w:r>
    </w:p>
    <w:p>
      <w:pPr>
        <w:pStyle w:val="Heading2"/>
      </w:pPr>
      <w:r>
        <w:t xml:space="preserve">Step 4 - Is the team experienced enough?</w:t>
      </w:r>
    </w:p>
    <w:p>
      <w:pPr>
        <w:keepNext/>
        <w:spacing w:after="120" w:before="60"/>
        <w:jc w:val="center"/>
      </w:pPr>
      <w:r>
        <w:drawing>
          <wp:inline distT="0" distB="0" distL="0" distR="0">
            <wp:extent cx="5715000" cy="3257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257550"/>
                    </a:xfrm>
                    <a:prstGeom prst="rect">
                      <a:avLst/>
                    </a:prstGeom>
                  </pic:spPr>
                </pic:pic>
              </a:graphicData>
            </a:graphic>
          </wp:inline>
        </w:drawing>
      </w:r>
    </w:p>
    <w:p>
      <w:pPr>
        <w:spacing w:after="90" w:line="290"/>
      </w:pPr>
      <w:r>
        <w:rPr>
          <w:rFonts w:ascii="Arial" w:cs="Arial" w:eastAsia="Arial" w:hAnsi="Arial"/>
          <w:b/>
          <w:bCs/>
          <w:color w:val="27251F"/>
          <w:sz w:val="21"/>
          <w:szCs w:val="21"/>
        </w:rPr>
        <w:t xml:space="preserve">What to look at: </w:t>
      </w:r>
      <w:r>
        <w:rPr>
          <w:rFonts w:ascii="Arial" w:cs="Arial" w:eastAsia="Arial" w:hAnsi="Arial"/>
          <w:color w:val="27251F"/>
          <w:sz w:val="21"/>
          <w:szCs w:val="21"/>
        </w:rPr>
        <w:t xml:space="preserve">how tall the "&lt; 3 months" and "3-6 months" bars are compared with "2+ years".</w:t>
      </w:r>
    </w:p>
    <w:p>
      <w:pPr>
        <w:spacing w:after="90" w:line="290"/>
      </w:pPr>
      <w:r>
        <w:rPr>
          <w:rFonts w:ascii="Arial" w:cs="Arial" w:eastAsia="Arial" w:hAnsi="Arial"/>
          <w:b/>
          <w:bCs/>
          <w:color w:val="27251F"/>
          <w:sz w:val="21"/>
          <w:szCs w:val="21"/>
        </w:rPr>
        <w:t xml:space="preserve">Then decide: </w:t>
      </w:r>
      <w:r>
        <w:rPr>
          <w:rFonts w:ascii="Arial" w:cs="Arial" w:eastAsia="Arial" w:hAnsi="Arial"/>
          <w:color w:val="27251F"/>
          <w:sz w:val="21"/>
          <w:szCs w:val="21"/>
        </w:rPr>
        <w:t xml:space="preserve">a large share of new people means more coaching and closer follow-up. A team that is mostly 2+ years is stable, but check that you are still hiring for the future.</w:t>
      </w:r>
    </w:p>
    <w:p>
      <w:pPr>
        <w:pStyle w:val="Heading2"/>
      </w:pPr>
      <w:r>
        <w:t xml:space="preserve">Step 5 - Who is on the team?</w:t>
      </w:r>
    </w:p>
    <w:p>
      <w:pPr>
        <w:keepNext/>
        <w:spacing w:after="120" w:before="60"/>
        <w:jc w:val="center"/>
      </w:pPr>
      <w:r>
        <w:drawing>
          <wp:inline distT="0" distB="0" distL="0" distR="0">
            <wp:extent cx="5715000" cy="3257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257550"/>
                    </a:xfrm>
                    <a:prstGeom prst="rect">
                      <a:avLst/>
                    </a:prstGeom>
                  </pic:spPr>
                </pic:pic>
              </a:graphicData>
            </a:graphic>
          </wp:inline>
        </w:drawing>
      </w:r>
    </w:p>
    <w:p>
      <w:pPr>
        <w:spacing w:after="90" w:line="290"/>
      </w:pPr>
      <w:r>
        <w:rPr>
          <w:rFonts w:ascii="Arial" w:cs="Arial" w:eastAsia="Arial" w:hAnsi="Arial"/>
          <w:b/>
          <w:bCs/>
          <w:color w:val="27251F"/>
          <w:sz w:val="21"/>
          <w:szCs w:val="21"/>
        </w:rPr>
        <w:t xml:space="preserve">What to look at: </w:t>
      </w:r>
      <w:r>
        <w:rPr>
          <w:rFonts w:ascii="Arial" w:cs="Arial" w:eastAsia="Arial" w:hAnsi="Arial"/>
          <w:color w:val="27251F"/>
          <w:sz w:val="21"/>
          <w:szCs w:val="21"/>
        </w:rPr>
        <w:t xml:space="preserve">which roles carry most of your headcount, and whether a role you depend on looks thin.</w:t>
      </w:r>
    </w:p>
    <w:p>
      <w:pPr>
        <w:keepNext/>
        <w:spacing w:after="120" w:before="60"/>
        <w:jc w:val="center"/>
      </w:pPr>
      <w:r>
        <w:drawing>
          <wp:inline distT="0" distB="0" distL="0" distR="0">
            <wp:extent cx="5715000" cy="3257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257550"/>
                    </a:xfrm>
                    <a:prstGeom prst="rect">
                      <a:avLst/>
                    </a:prstGeom>
                  </pic:spPr>
                </pic:pic>
              </a:graphicData>
            </a:graphic>
          </wp:inline>
        </w:drawing>
      </w:r>
    </w:p>
    <w:p>
      <w:pPr>
        <w:spacing w:after="90" w:line="290"/>
      </w:pPr>
      <w:r>
        <w:rPr>
          <w:rFonts w:ascii="Arial" w:cs="Arial" w:eastAsia="Arial" w:hAnsi="Arial"/>
          <w:b/>
          <w:bCs/>
          <w:color w:val="27251F"/>
          <w:sz w:val="21"/>
          <w:szCs w:val="21"/>
        </w:rPr>
        <w:t xml:space="preserve">What to look at: </w:t>
      </w:r>
      <w:r>
        <w:rPr>
          <w:rFonts w:ascii="Arial" w:cs="Arial" w:eastAsia="Arial" w:hAnsi="Arial"/>
          <w:color w:val="27251F"/>
          <w:sz w:val="21"/>
          <w:szCs w:val="21"/>
        </w:rPr>
        <w:t xml:space="preserve">the split between payroll groups.</w:t>
      </w:r>
    </w:p>
    <w:p>
      <w:pPr>
        <w:keepNext/>
        <w:spacing w:after="120" w:before="60"/>
        <w:jc w:val="center"/>
      </w:pPr>
      <w:r>
        <w:drawing>
          <wp:inline distT="0" distB="0" distL="0" distR="0">
            <wp:extent cx="5715000" cy="3257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257550"/>
                    </a:xfrm>
                    <a:prstGeom prst="rect">
                      <a:avLst/>
                    </a:prstGeom>
                  </pic:spPr>
                </pic:pic>
              </a:graphicData>
            </a:graphic>
          </wp:inline>
        </w:drawing>
      </w:r>
    </w:p>
    <w:p>
      <w:pPr>
        <w:spacing w:after="90" w:line="290"/>
      </w:pPr>
      <w:r>
        <w:rPr>
          <w:rFonts w:ascii="Arial" w:cs="Arial" w:eastAsia="Arial" w:hAnsi="Arial"/>
          <w:b/>
          <w:bCs/>
          <w:color w:val="27251F"/>
          <w:sz w:val="21"/>
          <w:szCs w:val="21"/>
        </w:rPr>
        <w:t xml:space="preserve">What to look at: </w:t>
      </w:r>
      <w:r>
        <w:rPr>
          <w:rFonts w:ascii="Arial" w:cs="Arial" w:eastAsia="Arial" w:hAnsi="Arial"/>
          <w:color w:val="27251F"/>
          <w:sz w:val="21"/>
          <w:szCs w:val="21"/>
        </w:rPr>
        <w:t xml:space="preserve">the gender split of the current team, with counts and percentages.</w:t>
      </w:r>
    </w:p>
    <w:p>
      <w:pPr>
        <w:pStyle w:val="Heading2"/>
      </w:pPr>
      <w:r>
        <w:t xml:space="preserve">Step 6 - Which stores need attention?</w:t>
      </w:r>
    </w:p>
    <w:p>
      <w:pPr>
        <w:keepNext/>
        <w:spacing w:after="120" w:before="60"/>
        <w:jc w:val="center"/>
      </w:pPr>
      <w:r>
        <w:drawing>
          <wp:inline distT="0" distB="0" distL="0" distR="0">
            <wp:extent cx="5715000" cy="1685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1685925"/>
                    </a:xfrm>
                    <a:prstGeom prst="rect">
                      <a:avLst/>
                    </a:prstGeom>
                  </pic:spPr>
                </pic:pic>
              </a:graphicData>
            </a:graphic>
          </wp:inline>
        </w:drawing>
      </w:r>
    </w:p>
    <w:p>
      <w:pPr>
        <w:spacing w:after="90" w:line="290"/>
      </w:pPr>
      <w:r>
        <w:rPr>
          <w:rFonts w:ascii="Arial" w:cs="Arial" w:eastAsia="Arial" w:hAnsi="Arial"/>
          <w:b/>
          <w:bCs/>
          <w:color w:val="27251F"/>
          <w:sz w:val="21"/>
          <w:szCs w:val="21"/>
        </w:rPr>
        <w:t xml:space="preserve">What to look at: </w:t>
      </w:r>
      <w:r>
        <w:rPr>
          <w:rFonts w:ascii="Arial" w:cs="Arial" w:eastAsia="Arial" w:hAnsi="Arial"/>
          <w:color w:val="27251F"/>
          <w:sz w:val="21"/>
          <w:szCs w:val="21"/>
        </w:rPr>
        <w:t xml:space="preserve">each store's headcount, with its gender and payroll group mix.</w:t>
      </w:r>
    </w:p>
    <w:p>
      <w:pPr>
        <w:spacing w:after="90" w:line="290"/>
      </w:pPr>
      <w:r>
        <w:rPr>
          <w:rFonts w:ascii="Arial" w:cs="Arial" w:eastAsia="Arial" w:hAnsi="Arial"/>
          <w:b/>
          <w:bCs/>
          <w:color w:val="27251F"/>
          <w:sz w:val="21"/>
          <w:szCs w:val="21"/>
        </w:rPr>
        <w:t xml:space="preserve">Then decide: </w:t>
      </w:r>
      <w:r>
        <w:rPr>
          <w:rFonts w:ascii="Arial" w:cs="Arial" w:eastAsia="Arial" w:hAnsi="Arial"/>
          <w:color w:val="27251F"/>
          <w:sz w:val="21"/>
          <w:szCs w:val="21"/>
        </w:rPr>
        <w:t xml:space="preserve">compare stores with each other. A store with a much smaller team than similar stores is worth a conversation with its manager.</w:t>
      </w:r>
    </w:p>
    <w:p>
      <w:pPr>
        <w:pStyle w:val="Heading2"/>
      </w:pPr>
      <w:r>
        <w:t xml:space="preserve">Step 7 - Who should you talk to first?</w:t>
      </w:r>
    </w:p>
    <w:p>
      <w:pPr>
        <w:keepNext/>
        <w:spacing w:after="120" w:before="60"/>
        <w:jc w:val="center"/>
      </w:pPr>
      <w:r>
        <w:drawing>
          <wp:inline distT="0" distB="0" distL="0" distR="0">
            <wp:extent cx="5715000" cy="523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5238750"/>
                    </a:xfrm>
                    <a:prstGeom prst="rect">
                      <a:avLst/>
                    </a:prstGeom>
                  </pic:spPr>
                </pic:pic>
              </a:graphicData>
            </a:graphic>
          </wp:inline>
        </w:drawing>
      </w:r>
    </w:p>
    <w:p>
      <w:pPr>
        <w:keepNext/>
        <w:spacing w:after="120" w:before="60"/>
        <w:jc w:val="center"/>
      </w:pPr>
      <w:r>
        <w:drawing>
          <wp:inline distT="0" distB="0" distL="0" distR="0">
            <wp:extent cx="5715000" cy="160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1600200"/>
                    </a:xfrm>
                    <a:prstGeom prst="rect">
                      <a:avLst/>
                    </a:prstGeom>
                  </pic:spPr>
                </pic:pic>
              </a:graphicData>
            </a:graphic>
          </wp:inline>
        </w:drawing>
      </w:r>
    </w:p>
    <w:p>
      <w:pPr>
        <w:keepNext/>
        <w:spacing w:after="120" w:before="60"/>
        <w:jc w:val="center"/>
      </w:pPr>
      <w:r>
        <w:drawing>
          <wp:inline distT="0" distB="0" distL="0" distR="0">
            <wp:extent cx="5715000" cy="160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1600200"/>
                    </a:xfrm>
                    <a:prstGeom prst="rect">
                      <a:avLst/>
                    </a:prstGeom>
                  </pic:spPr>
                </pic:pic>
              </a:graphicData>
            </a:graphic>
          </wp:inline>
        </w:drawing>
      </w:r>
    </w:p>
    <w:p>
      <w:pPr>
        <w:keepNext/>
        <w:spacing w:after="120" w:before="60"/>
        <w:jc w:val="center"/>
      </w:pPr>
      <w:r>
        <w:drawing>
          <wp:inline distT="0" distB="0" distL="0" distR="0">
            <wp:extent cx="5715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1905000"/>
                    </a:xfrm>
                    <a:prstGeom prst="rect">
                      <a:avLst/>
                    </a:prstGeom>
                  </pic:spPr>
                </pic:pic>
              </a:graphicData>
            </a:graphic>
          </wp:inline>
        </w:drawing>
      </w:r>
    </w:p>
    <w:p>
      <w:pPr>
        <w:spacing w:after="90" w:line="290"/>
      </w:pPr>
      <w:r>
        <w:rPr>
          <w:rFonts w:ascii="Arial" w:cs="Arial" w:eastAsia="Arial" w:hAnsi="Arial"/>
          <w:b/>
          <w:bCs/>
          <w:color w:val="27251F"/>
          <w:sz w:val="21"/>
          <w:szCs w:val="21"/>
        </w:rPr>
        <w:t xml:space="preserve">What to look at: </w:t>
      </w:r>
      <w:r>
        <w:rPr>
          <w:rFonts w:ascii="Arial" w:cs="Arial" w:eastAsia="Arial" w:hAnsi="Arial"/>
          <w:color w:val="27251F"/>
          <w:sz w:val="21"/>
          <w:szCs w:val="21"/>
        </w:rPr>
        <w:t xml:space="preserve">Turnover% next to each person's headcount. It is weighted across all their stores, and the coloured badge highlights the higher rates.</w:t>
      </w:r>
    </w:p>
    <w:p>
      <w:pPr>
        <w:spacing w:after="90" w:line="290"/>
      </w:pPr>
      <w:r>
        <w:rPr>
          <w:rFonts w:ascii="Arial" w:cs="Arial" w:eastAsia="Arial" w:hAnsi="Arial"/>
          <w:b/>
          <w:bCs/>
          <w:color w:val="27251F"/>
          <w:sz w:val="21"/>
          <w:szCs w:val="21"/>
        </w:rPr>
        <w:t xml:space="preserve">Then decide: </w:t>
      </w:r>
      <w:r>
        <w:rPr>
          <w:rFonts w:ascii="Arial" w:cs="Arial" w:eastAsia="Arial" w:hAnsi="Arial"/>
          <w:color w:val="27251F"/>
          <w:sz w:val="21"/>
          <w:szCs w:val="21"/>
        </w:rPr>
        <w:t xml:space="preserve">start your conversations with the people whose Turnover% is highest, then filter the page by that person to see which of their stores drives it.</w:t>
      </w:r>
    </w:p>
    <w:sectPr>
      <w:headerReference w:type="default" r:id="rId7"/>
      <w:footerReference w:type="default" r:id="rId8"/>
      <w:pgSz w:w="11906" w:h="16838" w:orient="portrait"/>
      <w:pgMar w:top="1300" w:right="1250" w:bottom="1000" w:left="12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A291C" w:sz="12" w:space="4"/>
      </w:pBdr>
    </w:pPr>
    <w:r>
      <w:drawing>
        <wp:inline distT="0" distB="0" distL="0" distR="0">
          <wp:extent cx="323850" cy="28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23850" cy="285750"/>
                  </a:xfrm>
                  <a:prstGeom prst="rect">
                    <a:avLst/>
                  </a:prstGeom>
                </pic:spPr>
              </pic:pic>
            </a:graphicData>
          </a:graphic>
        </wp:inline>
      </w:drawing>
    </w:r>
    <w:r>
      <w:rPr>
        <w:rFonts w:ascii="Arial" w:cs="Arial" w:eastAsia="Arial" w:hAnsi="Arial"/>
        <w:b/>
        <w:bCs/>
        <w:color w:val="27251F"/>
        <w:sz w:val="18"/>
        <w:szCs w:val="18"/>
      </w:rPr>
      <w:t xml:space="preserve">   McDonald's Egypt - Crew Insights Hub  |  User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60" w:before="120"/>
      <w:outlineLvl w:val="0"/>
    </w:pPr>
    <w:rPr>
      <w:rFonts w:ascii="Arial" w:cs="Arial" w:eastAsia="Arial" w:hAnsi="Arial"/>
      <w:b/>
      <w:bCs/>
      <w:color w:val="DA291C"/>
      <w:sz w:val="40"/>
      <w:szCs w:val="40"/>
    </w:rPr>
  </w:style>
  <w:style w:type="paragraph" w:styleId="Heading2">
    <w:name w:val="Heading 2"/>
    <w:basedOn w:val="Normal"/>
    <w:next w:val="Normal"/>
    <w:qFormat/>
    <w:pPr>
      <w:keepNext/>
      <w:pBdr>
        <w:left w:val="single" w:color="DA291C" w:sz="24" w:space="6"/>
      </w:pBdr>
      <w:spacing w:after="100" w:before="260"/>
      <w:outlineLvl w:val="1"/>
    </w:pPr>
    <w:rPr>
      <w:rFonts w:ascii="Arial" w:cs="Arial" w:eastAsia="Arial" w:hAnsi="Arial"/>
      <w:b/>
      <w:bCs/>
      <w:color w:val="27251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37f0224900dedf3d968e20c58131608ef8d038b.png"/><Relationship Id="rId10" Type="http://schemas.openxmlformats.org/officeDocument/2006/relationships/image" Target="media/b8897e457f35a5d3513835151240726ddb6a99dc.png"/><Relationship Id="rId11" Type="http://schemas.openxmlformats.org/officeDocument/2006/relationships/image" Target="media/2d72802d7f3a4ef4607d21412ddbf6f5481dbecb.png"/><Relationship Id="rId12" Type="http://schemas.openxmlformats.org/officeDocument/2006/relationships/image" Target="media/2245eb591aedb4f2ac3dd884f18664ba6bfebe70.png"/><Relationship Id="rId13" Type="http://schemas.openxmlformats.org/officeDocument/2006/relationships/image" Target="media/740d9202d2adbc2286a77051a830e664255f5118.png"/><Relationship Id="rId14" Type="http://schemas.openxmlformats.org/officeDocument/2006/relationships/image" Target="media/fef58f076e46f442b3d71093e2f23b90a13ca0c1.png"/><Relationship Id="rId15" Type="http://schemas.openxmlformats.org/officeDocument/2006/relationships/image" Target="media/d6b8e7bc45f1fd8b34cfcc323219dcfe8e1f8389.png"/><Relationship Id="rId16" Type="http://schemas.openxmlformats.org/officeDocument/2006/relationships/image" Target="media/48f02d1a5edeb88a0aa5452fdabe900a18b94fd1.png"/><Relationship Id="rId17" Type="http://schemas.openxmlformats.org/officeDocument/2006/relationships/image" Target="media/0da4c7a81d6728835472a22ee24e7aed5811512d.png"/><Relationship Id="rId18" Type="http://schemas.openxmlformats.org/officeDocument/2006/relationships/image" Target="media/c8393616859ed972feb618ab9dca94001a79da63.png"/><Relationship Id="rId19" Type="http://schemas.openxmlformats.org/officeDocument/2006/relationships/image" Target="media/dbeb5576ea68182e8f0cfaa7359b710639ded577.png"/><Relationship Id="rId20" Type="http://schemas.openxmlformats.org/officeDocument/2006/relationships/image" Target="media/0eb3e4be07f03e436751870f581907b95fa32d11.png"/><Relationship Id="rId21" Type="http://schemas.openxmlformats.org/officeDocument/2006/relationships/image" Target="media/bb6a2b04fc46701eaddef47cedc20d810fd816e2.png"/><Relationship Id="rId22" Type="http://schemas.openxmlformats.org/officeDocument/2006/relationships/image" Target="media/b13612776a4a751f4e7826a5202754b97c1cdc23.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d13b3953f9864f60423edd8ab0cfe01bcd523310.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Workforce Overview</dc:title>
  <dc:creator>McDonald's Egypt</dc:creator>
  <cp:lastModifiedBy>Un-named</cp:lastModifiedBy>
  <cp:revision>1</cp:revision>
  <dcterms:created xsi:type="dcterms:W3CDTF">2026-10-06T16:57:34.134Z</dcterms:created>
  <dcterms:modified xsi:type="dcterms:W3CDTF">2026-10-06T16:57:34.134Z</dcterms:modified>
</cp:coreProperties>
</file>

<file path=docProps/custom.xml><?xml version="1.0" encoding="utf-8"?>
<Properties xmlns="http://schemas.openxmlformats.org/officeDocument/2006/custom-properties" xmlns:vt="http://schemas.openxmlformats.org/officeDocument/2006/docPropsVTypes"/>
</file>