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flagged employee gets a 1-5 star risk score built from several weighted signals; employees with no matching signal are not listed. Higher stars mean higher predicted risk. Everyone flagged counts as "watch-listed" (cards and charts); those at 4-5 stars appear in the High-Risk table and the rest (1-3 stars) in the Watch List table.</w:t>
      </w:r>
    </w:p>
    <w:p>
      <w:pPr>
        <w:pStyle w:val="Heading2"/>
      </w:pPr>
      <w:r>
        <w:t xml:space="preserve">Step 1 - Choose your scope</w:t>
      </w:r>
    </w:p>
    <w:p>
      <w:pPr>
        <w:keepNext/>
        <w:spacing w:after="120" w:before="60"/>
        <w:jc w:val="center"/>
      </w:pPr>
      <w:r>
        <w:drawing>
          <wp:inline distT="0" distB="0" distL="0" distR="0">
            <wp:extent cx="69532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4000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or Job Title filters every card, chart and table to that selection. The Year/Months filter picks which monthly roster the risk scores are calculated on (the latest selected month). Because risk is about currently active employees, it is normally left on the latest period; the trend chart ignores it.</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inside their role's new-hire window (90 days by default, 30-180 days by role). The fourth card shows the company-wide early-leave rate used as the baseline.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risk signal (reason) is driving flags most often across the watch list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many watch-listed employees fall into each star rating (1 through 5), so you can see the overall risk distribution.</w:t>
            </w:r>
          </w:p>
        </w:tc>
      </w:tr>
    </w:tbl>
    <w:p>
      <w:pPr>
        <w:spacing w:after="30"/>
      </w:pPr>
      <w:r>
        <w:rPr>
          <w:rFonts w:ascii="Arial" w:cs="Arial" w:eastAsia="Arial" w:hAnsi="Arial"/>
          <w:color w:val="27251F"/>
          <w:sz w:val="21"/>
          <w:szCs w:val="21"/>
        </w:rPr>
        <w:t xml:space="preserve"/>
      </w:r>
    </w:p>
    <w:p>
      <w:pPr>
        <w:pStyle w:val="Heading2"/>
      </w:pPr>
      <w:r>
        <w:t xml:space="preserve">Step 5 - Where is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Watch-listed employees grouped by store, so you can see which stores carry the most flight-risk headcount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5 stores with the most highest-risk (4-5 star) employees.</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tc>
      </w:tr>
    </w:tbl>
    <w:p>
      <w:pPr>
        <w:spacing w:after="30"/>
      </w:pPr>
      <w:r>
        <w:rPr>
          <w:rFonts w:ascii="Arial" w:cs="Arial" w:eastAsia="Arial" w:hAnsi="Arial"/>
          <w:color w:val="27251F"/>
          <w:sz w:val="21"/>
          <w:szCs w:val="21"/>
        </w:rPr>
        <w:t xml:space="preserve"/>
      </w:r>
    </w:p>
    <w:p>
      <w:pPr>
        <w:pStyle w:val="Heading2"/>
      </w:pPr>
      <w:r>
        <w:t xml:space="preserve">Step 6 - Is the watch list growing?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Two lines, the total watch list and the High Risk (4-5 star) count, for every available month. It ignores the Year/Months filter.</w:t>
            </w:r>
          </w:p>
        </w:tc>
      </w:tr>
    </w:tbl>
    <w:p>
      <w:pPr>
        <w:spacing w:after="30"/>
      </w:pPr>
      <w:r>
        <w:rPr>
          <w:rFonts w:ascii="Arial" w:cs="Arial" w:eastAsia="Arial" w:hAnsi="Arial"/>
          <w:color w:val="27251F"/>
          <w:sz w:val="21"/>
          <w:szCs w:val="21"/>
        </w:rPr>
        <w:t xml:space="preserve"/>
      </w:r>
    </w:p>
    <w:p>
      <w:pPr>
        <w:pStyle w:val="Heading2"/>
      </w:pPr>
      <w:r>
        <w:t xml:space="preserve">Step 7 - Who needs attention first?</w:t>
      </w:r>
    </w:p>
    <w:p>
      <w:pPr>
        <w:keepNext/>
        <w:spacing w:after="120" w:before="60"/>
        <w:jc w:val="center"/>
      </w:pPr>
      <w:r>
        <w:drawing>
          <wp:inline distT="0" distB="0" distL="0" distR="0">
            <wp:extent cx="69532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6953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2657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Watch List: every flagged employee at 1-3 stars (those at 4-5 stars are in the High-Risk table above, so no one is listed twice). It is sortable and searchable (name, store, consultant, job title),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 The history-based factors only use employees hired on or after 1 January 2026.</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(30-180 days by role): under 40% of it elapsed = 1 point, 40-74% = 2, 75% or more = 3.</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average store (1, 1.5 or 2 standard deviations above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average job title (1, 1.5 or 2 standard deviations above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(1 point) or inside (2 points) the store's/role's historical peak resignation window, which only applies after the first 90 days.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the average across gender groups.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(at least 3) show above-average negative answers (workload, fairness, communication, training).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f9a1e373d837e5822a09d41c02bba85f40d195d.png"/><Relationship Id="rId10" Type="http://schemas.openxmlformats.org/officeDocument/2006/relationships/image" Target="media/01b5e28ad99c12298a123f9a352ae2a754eef69d.png"/><Relationship Id="rId11" Type="http://schemas.openxmlformats.org/officeDocument/2006/relationships/image" Target="media/e916dfed6c8add91ef6b1b0801b9b183d499a6ab.png"/><Relationship Id="rId12" Type="http://schemas.openxmlformats.org/officeDocument/2006/relationships/image" Target="media/535a99c0641eee9e53631034faa3b503fc926a59.png"/><Relationship Id="rId13" Type="http://schemas.openxmlformats.org/officeDocument/2006/relationships/image" Target="media/fb689447dffff56fb8fb78df4f22c063ee07d23c.png"/><Relationship Id="rId14" Type="http://schemas.openxmlformats.org/officeDocument/2006/relationships/image" Target="media/b82c74d7204c454e0ee0fff78cf905c17e7a3e5d.png"/><Relationship Id="rId15" Type="http://schemas.openxmlformats.org/officeDocument/2006/relationships/image" Target="media/f351398cd0b49dd971ed5cd7648afe9a031a74b7.png"/><Relationship Id="rId16" Type="http://schemas.openxmlformats.org/officeDocument/2006/relationships/image" Target="media/6b0a1f219d3c7c4270c2fc18b423a20858edcf82.png"/><Relationship Id="rId17" Type="http://schemas.openxmlformats.org/officeDocument/2006/relationships/image" Target="media/bca0f304107c3776c13b70e23c4ebd190d523901.png"/><Relationship Id="rId18" Type="http://schemas.openxmlformats.org/officeDocument/2006/relationships/image" Target="media/3c6cdf43723a70adf8e3bf74ecb447be5e11e0d7.png"/><Relationship Id="rId19" Type="http://schemas.openxmlformats.org/officeDocument/2006/relationships/image" Target="media/5b6f7c498d9066522941e8e63b82aa09a68386ff.png"/><Relationship Id="rId20" Type="http://schemas.openxmlformats.org/officeDocument/2006/relationships/image" Target="media/ab323a42eb197ece96e1ce5704feea748a4ad38e.png"/><Relationship Id="rId21" Type="http://schemas.openxmlformats.org/officeDocument/2006/relationships/image" Target="media/4fcaf34f3be5da6080c8719661e744493e31e6ea.png"/><Relationship Id="rId22" Type="http://schemas.openxmlformats.org/officeDocument/2006/relationships/image" Target="media/df999c6d5289998c7e8d55490b1dcad6b09110d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dc:title>
  <dc:creator>McDonald's Egypt</dc:creator>
  <cp:lastModifiedBy>Un-named</cp:lastModifiedBy>
  <cp:revision>1</cp:revision>
  <dcterms:created xsi:type="dcterms:W3CDTF">2026-10-06T20:09:10.570Z</dcterms:created>
  <dcterms:modified xsi:type="dcterms:W3CDTF">2026-10-06T20:09:10.571Z</dcterms:modified>
</cp:coreProperties>
</file>

<file path=docProps/custom.xml><?xml version="1.0" encoding="utf-8"?>
<Properties xmlns="http://schemas.openxmlformats.org/officeDocument/2006/custom-properties" xmlns:vt="http://schemas.openxmlformats.org/officeDocument/2006/docPropsVTypes"/>
</file>