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p>
    <w:p>
      <w:pPr>
        <w:spacing w:after="400"/>
        <w:jc w:val="center"/>
      </w:pPr>
      <w:r>
        <w:drawing>
          <wp:inline distT="0" distB="0" distL="0" distR="0">
            <wp:extent cx="18097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1809750" cy="1590675"/>
                    </a:xfrm>
                    <a:prstGeom prst="rect">
                      <a:avLst/>
                    </a:prstGeom>
                  </pic:spPr>
                </pic:pic>
              </a:graphicData>
            </a:graphic>
          </wp:inline>
        </w:drawing>
      </w:r>
    </w:p>
    <w:p>
      <w:pPr>
        <w:spacing w:after="200"/>
        <w:jc w:val="center"/>
      </w:pPr>
      <w:r>
        <w:rPr>
          <w:rFonts w:ascii="Arial" w:cs="Arial" w:eastAsia="Arial" w:hAnsi="Arial"/>
          <w:b/>
          <w:bCs/>
          <w:color w:val="666666"/>
          <w:sz w:val="32"/>
          <w:szCs w:val="32"/>
        </w:rPr>
        <w:t xml:space="preserve">McDonald's Egypt</w:t>
      </w:r>
    </w:p>
    <w:p>
      <w:pPr>
        <w:spacing w:after="100"/>
        <w:jc w:val="center"/>
      </w:pPr>
      <w:r>
        <w:rPr>
          <w:rFonts w:ascii="Arial" w:cs="Arial" w:eastAsia="Arial" w:hAnsi="Arial"/>
          <w:b/>
          <w:bCs/>
          <w:color w:val="DA291C"/>
          <w:sz w:val="76"/>
          <w:szCs w:val="76"/>
        </w:rPr>
        <w:t xml:space="preserve">Crew Insights Hub</w:t>
      </w:r>
    </w:p>
    <w:p>
      <w:pPr>
        <w:pBdr>
          <w:bottom w:val="single" w:color="FFC72C" w:sz="24" w:space="14"/>
        </w:pBdr>
        <w:spacing w:after="400"/>
        <w:jc w:val="center"/>
      </w:pPr>
      <w:r>
        <w:rPr>
          <w:rFonts w:ascii="Arial" w:cs="Arial" w:eastAsia="Arial" w:hAnsi="Arial"/>
          <w:b/>
          <w:bCs/>
          <w:color w:val="27251F"/>
          <w:sz w:val="48"/>
          <w:szCs w:val="48"/>
        </w:rPr>
        <w:t xml:space="preserve">User Guide</w:t>
      </w:r>
    </w:p>
    <w:p>
      <w:pPr>
        <w:spacing w:after="2400" w:before="200"/>
        <w:jc w:val="center"/>
      </w:pPr>
      <w:r>
        <w:rPr>
          <w:rFonts w:ascii="Arial" w:cs="Arial" w:eastAsia="Arial" w:hAnsi="Arial"/>
          <w:color w:val="27251F"/>
          <w:sz w:val="28"/>
          <w:szCs w:val="28"/>
        </w:rPr>
        <w:t xml:space="preserve">For Operations Managers</w:t>
      </w:r>
    </w:p>
    <w:p>
      <w:pPr>
        <w:jc w:val="center"/>
      </w:pPr>
      <w:r>
        <w:rPr>
          <w:rFonts w:ascii="Arial" w:cs="Arial" w:eastAsia="Arial" w:hAnsi="Arial"/>
          <w:color w:val="666666"/>
          <w:sz w:val="22"/>
          <w:szCs w:val="22"/>
        </w:rPr>
        <w:t xml:space="preserve">Version 1.0  |  October 2026</w:t>
      </w:r>
    </w:p>
    <w:p>
      <w:pPr>
        <w:sectPr>
          <w:pgSz w:w="11906" w:h="16838" w:orient="portrait"/>
          <w:pgMar w:top="1500" w:right="432" w:bottom="994" w:left="432" w:header="706" w:footer="706" w:gutter="0"/>
          <w:pgNumType/>
          <w:docGrid w:linePitch="360"/>
        </w:sectPr>
      </w:pPr>
    </w:p>
    <w:p>
      <w:pPr>
        <w:pBdr>
          <w:left w:val="single" w:color="DA291C" w:sz="24" w:space="6"/>
        </w:pBdr>
        <w:spacing w:after="240"/>
      </w:pPr>
      <w:r>
        <w:rPr>
          <w:rFonts w:ascii="Arial" w:cs="Arial" w:eastAsia="Arial" w:hAnsi="Arial"/>
          <w:b/>
          <w:bCs/>
          <w:color w:val="DA291C"/>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every page has a red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flagged leaders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stores with an open Action Plan</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severity,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Pick a store, manager or consultant in the filters and every chart and table on the page follows your choice.</w:t>
      </w:r>
    </w:p>
    <w:p>
      <w:pPr>
        <w:pStyle w:val="ListParagraph"/>
        <w:numPr>
          <w:ilvl w:val="0"/>
          <w:numId w:val="2"/>
        </w:numPr>
        <w:spacing w:after="60" w:line="280"/>
      </w:pPr>
      <w:r>
        <w:rPr>
          <w:rFonts w:ascii="Arial" w:cs="Arial" w:eastAsia="Arial" w:hAnsi="Arial"/>
          <w:color w:val="27251F"/>
          <w:sz w:val="21"/>
          <w:szCs w:val="21"/>
        </w:rPr>
        <w:t xml:space="preserve">Click a column header in a table to sort it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6953250" cy="561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953250" cy="56197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6953250" cy="1962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953250" cy="19621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tc>
      </w:tr>
    </w:tbl>
    <w:p>
      <w:pPr>
        <w:spacing w:after="30"/>
      </w:pPr>
      <w:r>
        <w:rPr>
          <w:rFonts w:ascii="Arial" w:cs="Arial" w:eastAsia="Arial" w:hAnsi="Arial"/>
          <w:color w:val="27251F"/>
          <w:sz w:val="21"/>
          <w:szCs w:val="21"/>
        </w:rPr>
        <w:t xml:space="preserve"/>
      </w:r>
    </w:p>
    <w:p>
      <w:pPr>
        <w:pStyle w:val="Heading2"/>
      </w:pPr>
      <w:r>
        <w:t xml:space="preserve">Step 5 - Who is on the team?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tc>
      </w:tr>
    </w:tbl>
    <w:p>
      <w:pPr>
        <w:spacing w:after="30"/>
      </w:pPr>
      <w:r>
        <w:rPr>
          <w:rFonts w:ascii="Arial" w:cs="Arial" w:eastAsia="Arial" w:hAnsi="Arial"/>
          <w:color w:val="27251F"/>
          <w:sz w:val="21"/>
          <w:szCs w:val="21"/>
        </w:rPr>
        <w:t xml:space="preserve"/>
      </w:r>
    </w:p>
    <w:p>
      <w:pPr>
        <w:pStyle w:val="Heading2"/>
      </w:pPr>
      <w:r>
        <w:t xml:space="preserve">Step 6 - Which stores need attention?</w:t>
      </w:r>
    </w:p>
    <w:p>
      <w:pPr>
        <w:keepNext/>
        <w:spacing w:after="120" w:before="60"/>
        <w:jc w:val="center"/>
      </w:pPr>
      <w:r>
        <w:drawing>
          <wp:inline distT="0" distB="0" distL="0" distR="0">
            <wp:extent cx="6953250" cy="20478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0" cstate="none"/>
                    <a:srcRect/>
                    <a:stretch>
                      <a:fillRect/>
                    </a:stretch>
                  </pic:blipFill>
                  <pic:spPr bwMode="auto">
                    <a:xfrm>
                      <a:off x="0" y="0"/>
                      <a:ext cx="6953250" cy="204787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1"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3286125" cy="1095375"/>
                          </a:xfrm>
                          <a:prstGeom prst="rect">
                            <a:avLst/>
                          </a:prstGeom>
                        </pic:spPr>
                      </pic:pic>
                    </a:graphicData>
                  </a:graphic>
                </wp:inline>
              </w:drawing>
            </w:r>
          </w:p>
        </w:tc>
      </w:tr>
    </w:tbl>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6953250" cy="466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6953250" cy="22574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6953250" cy="22574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6953250" cy="28765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6953250" cy="28765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6953250" cy="2162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6953250" cy="2162175"/>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3717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3286125" cy="23717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3286125" cy="1676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6953250" cy="31813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6953250" cy="31813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val="false"/>
        <w:spacing w:after="120" w:before="60"/>
        <w:jc w:val="center"/>
      </w:pPr>
      <w:r>
        <w:drawing>
          <wp:inline distT="0" distB="0" distL="0" distR="0">
            <wp:extent cx="6953250" cy="6953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6953250" cy="695325"/>
                    </a:xfrm>
                    <a:prstGeom prst="rect">
                      <a:avLst/>
                    </a:prstGeom>
                  </pic:spPr>
                </pic:pic>
              </a:graphicData>
            </a:graphic>
          </wp:inline>
        </w:drawing>
      </w:r>
    </w:p>
    <w:p>
      <w:pPr>
        <w:pStyle w:val="Heading2"/>
      </w:pPr>
      <w:r>
        <w:t xml:space="preserve">Step 8 - Who should you talk to?</w:t>
      </w:r>
    </w:p>
    <w:p>
      <w:pPr>
        <w:keepNext w:val="false"/>
        <w:spacing w:after="120" w:before="60"/>
        <w:jc w:val="center"/>
      </w:pPr>
      <w:r>
        <w:drawing>
          <wp:inline distT="0" distB="0" distL="0" distR="0">
            <wp:extent cx="6953250" cy="27336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6953250" cy="2733675"/>
                    </a:xfrm>
                    <a:prstGeom prst="rect">
                      <a:avLst/>
                    </a:prstGeom>
                  </pic:spPr>
                </pic:pic>
              </a:graphicData>
            </a:graphic>
          </wp:inline>
        </w:drawing>
      </w:r>
    </w:p>
    <w:p>
      <w:pPr>
        <w:keepNext w:val="false"/>
        <w:spacing w:after="120" w:before="60"/>
        <w:jc w:val="center"/>
      </w:pPr>
      <w:r>
        <w:drawing>
          <wp:inline distT="0" distB="0" distL="0" distR="0">
            <wp:extent cx="6953250" cy="11144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6953250" cy="1114425"/>
                    </a:xfrm>
                    <a:prstGeom prst="rect">
                      <a:avLst/>
                    </a:prstGeom>
                  </pic:spPr>
                </pic:pic>
              </a:graphicData>
            </a:graphic>
          </wp:inline>
        </w:drawing>
      </w:r>
    </w:p>
    <w:p>
      <w:pPr>
        <w:keepNext w:val="false"/>
        <w:spacing w:after="120" w:before="60"/>
        <w:jc w:val="center"/>
      </w:pPr>
      <w:r>
        <w:drawing>
          <wp:inline distT="0" distB="0" distL="0" distR="0">
            <wp:extent cx="6953250" cy="11144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6953250" cy="1114425"/>
                    </a:xfrm>
                    <a:prstGeom prst="rect">
                      <a:avLst/>
                    </a:prstGeom>
                  </pic:spPr>
                </pic:pic>
              </a:graphicData>
            </a:graphic>
          </wp:inline>
        </w:drawing>
      </w:r>
    </w:p>
    <w:p>
      <w:pPr>
        <w:keepNext/>
        <w:spacing w:after="120" w:before="60"/>
        <w:jc w:val="center"/>
      </w:pPr>
      <w:r>
        <w:drawing>
          <wp:inline distT="0" distB="0" distL="0" distR="0">
            <wp:extent cx="6953250" cy="17049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6953250" cy="17049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6953250" cy="4667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6953250" cy="1457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6953250" cy="145732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6953250" cy="1962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6953250" cy="5724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6953250" cy="5724525"/>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6953250" cy="35623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6953250" cy="3562350"/>
                    </a:xfrm>
                    <a:prstGeom prst="rect">
                      <a:avLst/>
                    </a:prstGeom>
                  </pic:spPr>
                </pic:pic>
              </a:graphicData>
            </a:graphic>
          </wp:inline>
        </w:drawing>
      </w:r>
    </w:p>
    <w:p>
      <w:pPr>
        <w:spacing w:after="70" w:line="27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3"/>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3"/>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3"/>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3"/>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val="false"/>
        <w:spacing w:after="120" w:before="60"/>
        <w:jc w:val="center"/>
      </w:pPr>
      <w:r>
        <w:drawing>
          <wp:inline distT="0" distB="0" distL="0" distR="0">
            <wp:extent cx="6953250" cy="30480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953250" cy="3048000"/>
                    </a:xfrm>
                    <a:prstGeom prst="rect">
                      <a:avLst/>
                    </a:prstGeom>
                  </pic:spPr>
                </pic:pic>
              </a:graphicData>
            </a:graphic>
          </wp:inline>
        </w:drawing>
      </w:r>
    </w:p>
    <w:p>
      <w:pPr>
        <w:keepNext w:val="false"/>
        <w:spacing w:after="120" w:before="60"/>
        <w:jc w:val="center"/>
      </w:pPr>
      <w:r>
        <w:drawing>
          <wp:inline distT="0" distB="0" distL="0" distR="0">
            <wp:extent cx="6953250" cy="1304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6953250" cy="1304925"/>
                    </a:xfrm>
                    <a:prstGeom prst="rect">
                      <a:avLst/>
                    </a:prstGeom>
                  </pic:spPr>
                </pic:pic>
              </a:graphicData>
            </a:graphic>
          </wp:inline>
        </w:drawing>
      </w:r>
    </w:p>
    <w:p>
      <w:pPr>
        <w:keepNext w:val="false"/>
        <w:spacing w:after="120" w:before="60"/>
        <w:jc w:val="center"/>
      </w:pPr>
      <w:r>
        <w:drawing>
          <wp:inline distT="0" distB="0" distL="0" distR="0">
            <wp:extent cx="6953250" cy="13049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6953250" cy="1304925"/>
                    </a:xfrm>
                    <a:prstGeom prst="rect">
                      <a:avLst/>
                    </a:prstGeom>
                  </pic:spPr>
                </pic:pic>
              </a:graphicData>
            </a:graphic>
          </wp:inline>
        </w:drawing>
      </w:r>
    </w:p>
    <w:p>
      <w:pPr>
        <w:keepNext/>
        <w:spacing w:after="120" w:before="60"/>
        <w:jc w:val="center"/>
      </w:pPr>
      <w:r>
        <w:drawing>
          <wp:inline distT="0" distB="0" distL="0" distR="0">
            <wp:extent cx="6953250" cy="15240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953250" cy="15240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val="false"/>
        <w:spacing w:after="120" w:before="60"/>
        <w:jc w:val="center"/>
      </w:pPr>
      <w:r>
        <w:drawing>
          <wp:inline distT="0" distB="0" distL="0" distR="0">
            <wp:extent cx="6953250" cy="37909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953250" cy="37909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val="false"/>
        <w:spacing w:after="120" w:before="60"/>
        <w:jc w:val="center"/>
      </w:pPr>
      <w:r>
        <w:drawing>
          <wp:inline distT="0" distB="0" distL="0" distR="0">
            <wp:extent cx="6953250" cy="36480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6953250" cy="21717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6953250" cy="11906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953250" cy="119062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6953250" cy="19621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payroll group for the selected period.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resignations in the selected period, with counts and percentages on the side.</w:t>
            </w:r>
          </w:p>
        </w:tc>
      </w:tr>
    </w:tbl>
    <w:p>
      <w:pPr>
        <w:spacing w:after="30"/>
      </w:pPr>
      <w:r>
        <w:rPr>
          <w:rFonts w:ascii="Arial" w:cs="Arial" w:eastAsia="Arial" w:hAnsi="Arial"/>
          <w:color w:val="27251F"/>
          <w:sz w:val="21"/>
          <w:szCs w:val="21"/>
        </w:rPr>
        <w:t xml:space="preserve"/>
      </w:r>
    </w:p>
    <w:p>
      <w:pPr>
        <w:pStyle w:val="Heading2"/>
      </w:pPr>
      <w:r>
        <w:t xml:space="preserve">Step 5 - Why are they leaving?</w:t>
      </w:r>
    </w:p>
    <w:p>
      <w:pPr>
        <w:keepNext/>
        <w:spacing w:after="120" w:before="60"/>
        <w:jc w:val="center"/>
      </w:pPr>
      <w:r>
        <w:drawing>
          <wp:inline distT="0" distB="0" distL="0" distR="0">
            <wp:extent cx="6953250" cy="1962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6953250" cy="19621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6953250" cy="20478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6953250" cy="933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6953250" cy="1962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6953250" cy="1962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6953250" cy="1962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6953250" cy="20478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3286125" cy="18097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reasons given by employees who resigned within their first 90 days.</w:t>
            </w:r>
          </w:p>
        </w:tc>
      </w:tr>
    </w:tbl>
    <w:p>
      <w:pPr>
        <w:spacing w:after="30"/>
      </w:pPr>
      <w:r>
        <w:rPr>
          <w:rFonts w:ascii="Arial" w:cs="Arial" w:eastAsia="Arial" w:hAnsi="Arial"/>
          <w:color w:val="27251F"/>
          <w:sz w:val="21"/>
          <w:szCs w:val="21"/>
        </w:rPr>
        <w:t xml:space="preserve"/>
      </w:r>
    </w:p>
    <w:p>
      <w:pPr>
        <w:pStyle w:val="Heading2"/>
      </w:pPr>
      <w:r>
        <w:t xml:space="preserve">Step 7 - Who leaves early?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3286125" cy="1809750"/>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early leavers in the selected cohort(s).</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Early leavers grouped by job title.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Early leavers grouped by payroll group.</w:t>
            </w:r>
          </w:p>
        </w:tc>
      </w:tr>
    </w:tbl>
    <w:p>
      <w:pPr>
        <w:spacing w:after="30"/>
      </w:pPr>
      <w:r>
        <w:rPr>
          <w:rFonts w:ascii="Arial" w:cs="Arial" w:eastAsia="Arial" w:hAnsi="Arial"/>
          <w:color w:val="27251F"/>
          <w:sz w:val="21"/>
          <w:szCs w:val="21"/>
        </w:rPr>
        <w:t xml:space="preserve"/>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6953250" cy="24574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p>
      <w:pPr>
        <w:pStyle w:val="Heading1"/>
        <w:pageBreakBefore/>
      </w:pPr>
      <w:r>
        <w:t xml:space="preserve">Comparisons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Comparisons</w:t>
      </w:r>
    </w:p>
    <w:p>
      <w:pPr>
        <w:spacing w:after="90" w:line="290"/>
      </w:pPr>
      <w:r>
        <w:rPr>
          <w:rFonts w:ascii="Arial" w:cs="Arial" w:eastAsia="Arial" w:hAnsi="Arial"/>
          <w:color w:val="27251F"/>
          <w:sz w:val="21"/>
          <w:szCs w:val="21"/>
        </w:rPr>
        <w:t xml:space="preserve">Use this page to see whether things got better or worse. It compares two periods side by side, Period A and Period B, each with its own independent filters. Every card, chart and table shows both periods together plus the change between them.</w:t>
      </w:r>
    </w:p>
    <w:p>
      <w:pPr>
        <w:pStyle w:val="Heading2"/>
      </w:pPr>
      <w:r>
        <w:t xml:space="preserve">Step 1 - Choose the two periods</w:t>
      </w:r>
    </w:p>
    <w:p>
      <w:pPr>
        <w:keepNext/>
        <w:spacing w:after="120" w:before="60"/>
        <w:jc w:val="center"/>
      </w:pPr>
      <w:r>
        <w:drawing>
          <wp:inline distT="0" distB="0" distL="0" distR="0">
            <wp:extent cx="6953250" cy="20288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6953250" cy="2028825"/>
                    </a:xfrm>
                    <a:prstGeom prst="rect">
                      <a:avLst/>
                    </a:prstGeom>
                  </pic:spPr>
                </pic:pic>
              </a:graphicData>
            </a:graphic>
          </wp:inline>
        </w:drawing>
      </w:r>
    </w:p>
    <w:p>
      <w:pPr>
        <w:spacing w:after="70" w:line="270"/>
      </w:pPr>
      <w:r>
        <w:rPr>
          <w:rFonts w:ascii="Arial" w:cs="Arial" w:eastAsia="Arial" w:hAnsi="Arial"/>
          <w:color w:val="27251F"/>
          <w:sz w:val="21"/>
          <w:szCs w:val="21"/>
        </w:rPr>
        <w:t xml:space="preserve">Period A and Period B each have their own year, months, store, Operation Manager, Operation Consultant, Senior Operation Consultant and Operation Director filters - they do not have to match. The "Same months as A, last year" button fills Period B with the same filters as Period A but one year earlier, which is the quickest way to compare year over year.</w:t>
      </w:r>
    </w:p>
    <w:p>
      <w:pPr>
        <w:pStyle w:val="Heading2"/>
      </w:pPr>
      <w:r>
        <w:t xml:space="preserve">Step 2 - Read the Smart Insights</w:t>
      </w:r>
    </w:p>
    <w:p>
      <w:pPr>
        <w:keepNext/>
        <w:spacing w:after="120" w:before="60"/>
        <w:jc w:val="center"/>
      </w:pPr>
      <w:r>
        <w:drawing>
          <wp:inline distT="0" distB="0" distL="0" distR="0">
            <wp:extent cx="6953250" cy="6286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953250" cy="628650"/>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sentences that summarise how Period A compares with Period B for your current filters.</w:t>
      </w:r>
    </w:p>
    <w:p>
      <w:pPr>
        <w:pStyle w:val="Heading2"/>
      </w:pPr>
      <w:r>
        <w:t xml:space="preserve">Step 3 - Compare the headline numbers</w:t>
      </w:r>
    </w:p>
    <w:p>
      <w:pPr>
        <w:keepNext/>
        <w:spacing w:after="120" w:before="60"/>
        <w:jc w:val="center"/>
      </w:pPr>
      <w:r>
        <w:drawing>
          <wp:inline distT="0" distB="0" distL="0" distR="0">
            <wp:extent cx="6953250" cy="7620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6953250" cy="762000"/>
                    </a:xfrm>
                    <a:prstGeom prst="rect">
                      <a:avLst/>
                    </a:prstGeom>
                  </pic:spPr>
                </pic:pic>
              </a:graphicData>
            </a:graphic>
          </wp:inline>
        </w:drawing>
      </w:r>
    </w:p>
    <w:p>
      <w:pPr>
        <w:spacing w:after="70" w:line="270"/>
      </w:pPr>
      <w:r>
        <w:rPr>
          <w:rFonts w:ascii="Arial" w:cs="Arial" w:eastAsia="Arial" w:hAnsi="Arial"/>
          <w:color w:val="27251F"/>
          <w:sz w:val="21"/>
          <w:szCs w:val="21"/>
        </w:rPr>
        <w:t xml:space="preserve">Headcount, New Hires, Resignations, Turnover Rate, Early Leavers and 90-Day Rate for Period A and Period B side by side, each with the change between them and whether that change is an improvement or not.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Turnover Rate and 90-Day Rate changes first - they tell you immediately whether retention improved.</w:t>
      </w:r>
    </w:p>
    <w:p>
      <w:pPr>
        <w:pStyle w:val="Heading2"/>
      </w:pPr>
      <w:r>
        <w:t xml:space="preserve">Step 4 - Which stores got better or worse?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860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3286125" cy="228600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Rate per store for Period A vs Period B, as paired bars. When no store is selected, the chart shows the top 8 stores by combined A+B rate.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860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3286125" cy="2286000"/>
                          </a:xfrm>
                          <a:prstGeom prst="rect">
                            <a:avLst/>
                          </a:prstGeom>
                        </pic:spPr>
                      </pic:pic>
                    </a:graphicData>
                  </a:graphic>
                </wp:inline>
              </w:drawing>
            </w:r>
          </w:p>
          <w:p>
            <w:pPr>
              <w:spacing w:after="70" w:line="270"/>
            </w:pPr>
            <w:r>
              <w:rPr>
                <w:rFonts w:ascii="Arial" w:cs="Arial" w:eastAsia="Arial" w:hAnsi="Arial"/>
                <w:color w:val="27251F"/>
                <w:sz w:val="21"/>
                <w:szCs w:val="21"/>
              </w:rPr>
              <w:t xml:space="preserve">90-Day Rate per store for Period A vs Period B, as paired bars, using the same months and filters as the comparison.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stores where the Period B bar is much higher than Period A need a conversation with their Operation Consultant.</w:t>
            </w:r>
          </w:p>
        </w:tc>
      </w:tr>
    </w:tbl>
    <w:p>
      <w:pPr>
        <w:spacing w:after="30"/>
      </w:pPr>
      <w:r>
        <w:rPr>
          <w:rFonts w:ascii="Arial" w:cs="Arial" w:eastAsia="Arial" w:hAnsi="Arial"/>
          <w:color w:val="27251F"/>
          <w:sz w:val="21"/>
          <w:szCs w:val="21"/>
        </w:rPr>
        <w:t xml:space="preserve"/>
      </w:r>
    </w:p>
    <w:p>
      <w:pPr>
        <w:pStyle w:val="Heading2"/>
      </w:pPr>
      <w:r>
        <w:t xml:space="preserve">Step 5 - Headcount and resignations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1907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3286125" cy="2190750"/>
                          </a:xfrm>
                          <a:prstGeom prst="rect">
                            <a:avLst/>
                          </a:prstGeom>
                        </pic:spPr>
                      </pic:pic>
                    </a:graphicData>
                  </a:graphic>
                </wp:inline>
              </w:drawing>
            </w:r>
          </w:p>
          <w:p>
            <w:pPr>
              <w:spacing w:after="70" w:line="270"/>
            </w:pPr>
            <w:r>
              <w:rPr>
                <w:rFonts w:ascii="Arial" w:cs="Arial" w:eastAsia="Arial" w:hAnsi="Arial"/>
                <w:color w:val="27251F"/>
                <w:sz w:val="21"/>
                <w:szCs w:val="21"/>
              </w:rPr>
              <w:t xml:space="preserve">Active headcount per store for Period A vs Period B, as paired bars - or the total headcount for both periods when a single store is selected.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1907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3286125" cy="21907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count per store for Period A vs Period B. It shows counts, not a percentage.</w:t>
            </w:r>
          </w:p>
        </w:tc>
      </w:tr>
    </w:tbl>
    <w:p>
      <w:pPr>
        <w:spacing w:after="30"/>
      </w:pPr>
      <w:r>
        <w:rPr>
          <w:rFonts w:ascii="Arial" w:cs="Arial" w:eastAsia="Arial" w:hAnsi="Arial"/>
          <w:color w:val="27251F"/>
          <w:sz w:val="21"/>
          <w:szCs w:val="21"/>
        </w:rPr>
        <w:t xml:space="preserve"/>
      </w:r>
    </w:p>
    <w:p>
      <w:pPr>
        <w:pStyle w:val="Heading2"/>
      </w:pPr>
      <w:r>
        <w:t xml:space="preserve">Step 6 - Are people staying longer?</w:t>
      </w:r>
    </w:p>
    <w:p>
      <w:pPr>
        <w:keepNext/>
        <w:spacing w:after="120" w:before="60"/>
        <w:jc w:val="center"/>
      </w:pPr>
      <w:r>
        <w:drawing>
          <wp:inline distT="0" distB="0" distL="0" distR="0">
            <wp:extent cx="6953250" cy="22193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953250"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Retention rate at the 6-month, 1-year and later milestones for Period A vs Period B, for hire cohorts old enough to be eligible at each milestone.</w:t>
      </w:r>
    </w:p>
    <w:p>
      <w:pPr>
        <w:pStyle w:val="Heading2"/>
      </w:pPr>
      <w:r>
        <w:t xml:space="preserve">Step 7 - Why are people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4098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3286125" cy="24098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most common reasons recorded in exit interviews, Period A vs Period B, so you can see whether the same reasons dominate or the mix shifted.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4098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3286125" cy="2409825"/>
                          </a:xfrm>
                          <a:prstGeom prst="rect">
                            <a:avLst/>
                          </a:prstGeom>
                        </pic:spPr>
                      </pic:pic>
                    </a:graphicData>
                  </a:graphic>
                </wp:inline>
              </w:drawing>
            </w:r>
          </w:p>
          <w:p>
            <w:pPr>
              <w:spacing w:after="70" w:line="270"/>
            </w:pPr>
            <w:r>
              <w:rPr>
                <w:rFonts w:ascii="Arial" w:cs="Arial" w:eastAsia="Arial" w:hAnsi="Arial"/>
                <w:color w:val="27251F"/>
                <w:sz w:val="21"/>
                <w:szCs w:val="21"/>
              </w:rPr>
              <w:t xml:space="preserve">Positive exit-interview sentiment and how many interviews were submitted, Period A vs Period B.</w:t>
            </w:r>
          </w:p>
        </w:tc>
      </w:tr>
    </w:tbl>
    <w:p>
      <w:pPr>
        <w:spacing w:after="30"/>
      </w:pPr>
      <w:r>
        <w:rPr>
          <w:rFonts w:ascii="Arial" w:cs="Arial" w:eastAsia="Arial" w:hAnsi="Arial"/>
          <w:color w:val="27251F"/>
          <w:sz w:val="21"/>
          <w:szCs w:val="21"/>
        </w:rPr>
        <w:t xml:space="preserve"/>
      </w:r>
    </w:p>
    <w:p>
      <w:pPr>
        <w:pStyle w:val="Heading2"/>
      </w:pPr>
      <w:r>
        <w:t xml:space="preserve">Step 8 - Store by store</w:t>
      </w:r>
    </w:p>
    <w:p>
      <w:pPr>
        <w:keepNext/>
        <w:spacing w:after="120" w:before="60"/>
        <w:jc w:val="center"/>
      </w:pPr>
      <w:r>
        <w:drawing>
          <wp:inline distT="0" distB="0" distL="0" distR="0">
            <wp:extent cx="6953250" cy="21526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Turnover Rate and 90-Day Rate in both periods, plus the change between them. It is shown when both periods use "All Stores". Click a column header to sort.</w:t>
      </w:r>
    </w:p>
    <w:p>
      <w:pPr>
        <w:pStyle w:val="Heading1"/>
        <w:pageBreakBefore/>
      </w:pPr>
      <w:r>
        <w:t xml:space="preserve">Retention</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Retention</w:t>
      </w:r>
    </w:p>
    <w:p>
      <w:pPr>
        <w:spacing w:after="90" w:line="290"/>
      </w:pPr>
      <w:r>
        <w:rPr>
          <w:rFonts w:ascii="Arial" w:cs="Arial" w:eastAsia="Arial" w:hAnsi="Arial"/>
          <w:color w:val="27251F"/>
          <w:sz w:val="21"/>
          <w:szCs w:val="21"/>
        </w:rPr>
        <w:t xml:space="preserve">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pPr>
        <w:pStyle w:val="Heading2"/>
      </w:pPr>
      <w:r>
        <w:t xml:space="preserve">Step 1 - Choose the hires and your scope</w:t>
      </w:r>
    </w:p>
    <w:p>
      <w:pPr>
        <w:keepNext/>
        <w:spacing w:after="120" w:before="60"/>
        <w:jc w:val="center"/>
      </w:pPr>
      <w:r>
        <w:drawing>
          <wp:inline distT="0" distB="0" distL="0" distR="0">
            <wp:extent cx="6953250" cy="9334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Year/Months filter picks which hire cohort(s) to analyse - retention is always measured from each employee's own hire date, not from the filtered period itself. Choosing a Store, Operation Manager, Operation Consultant, Senior Operation Consultant or Operation Director filters every chart and table to just that selection.</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retention for your current filters. Read these first, then use the charts below to see where each one comes from.</w:t>
      </w:r>
    </w:p>
    <w:p>
      <w:pPr>
        <w:pStyle w:val="Heading2"/>
      </w:pPr>
      <w:r>
        <w:t xml:space="preserve">Step 3 - How experienced is today's team?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1590675" cy="124777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Each card shows the share of today's active headcount that has reached a tenure milestone (under 6 months, 6-12 months, 1-2 years and so on). It is a snapshot of team experience, not a survival rate.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large the "&lt; 6 months" card is compared with the longer-tenure cards.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new-joiner share means more coaching and closer follow-up in the coming months.</w:t>
      </w:r>
    </w:p>
    <w:p>
      <w:pPr>
        <w:pStyle w:val="Heading2"/>
      </w:pPr>
      <w:r>
        <w:t xml:space="preserve">Step 4 - Where do people drop off?</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survival curve shows, for each tenure milestone (for example 30, 60, 90, 180 days), what percentage of hires eligible for that milestone are still employed - where people tend to drop off.</w:t>
            </w:r>
          </w:p>
        </w:tc>
      </w:tr>
    </w:tbl>
    <w:p>
      <w:pPr>
        <w:spacing w:after="30"/>
      </w:pPr>
      <w:r>
        <w:rPr>
          <w:rFonts w:ascii="Arial" w:cs="Arial" w:eastAsia="Arial" w:hAnsi="Arial"/>
          <w:color w:val="27251F"/>
          <w:sz w:val="21"/>
          <w:szCs w:val="21"/>
        </w:rPr>
        <w:t xml:space="preserve"/>
      </w:r>
    </w:p>
    <w:p>
      <w:pPr>
        <w:pStyle w:val="Heading2"/>
      </w:pPr>
      <w:r>
        <w:t xml:space="preserve">Step 5 - Which stores keep their people?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best 6-month retention rate.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worst 6-month retention rate - worth a closer look.</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visit or call the stores in the worst-five list, and learn what the best-five stores do differently.</w:t>
            </w:r>
          </w:p>
        </w:tc>
      </w:tr>
    </w:tbl>
    <w:p>
      <w:pPr>
        <w:spacing w:after="30"/>
      </w:pPr>
      <w:r>
        <w:rPr>
          <w:rFonts w:ascii="Arial" w:cs="Arial" w:eastAsia="Arial" w:hAnsi="Arial"/>
          <w:color w:val="27251F"/>
          <w:sz w:val="21"/>
          <w:szCs w:val="21"/>
        </w:rPr>
        <w:t xml:space="preserve"/>
      </w:r>
    </w:p>
    <w:p>
      <w:pPr>
        <w:pStyle w:val="Heading2"/>
      </w:pPr>
      <w:r>
        <w:t xml:space="preserve">Step 6 - Who stays?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Share of the current team with 6+ months on the job, split by gender.</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19621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Share of each job title's current team that has been on the job 6+ months.</w:t>
      </w:r>
    </w:p>
    <w:p>
      <w:pPr>
        <w:pStyle w:val="Heading2"/>
      </w:pPr>
      <w:r>
        <w:t xml:space="preserve">Step 7 - Average tenure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with the highest and lowest average tenure of their current team, in months.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Operation Consultants with the highest and lowest average tenure across their stores' current teams.</w:t>
      </w:r>
    </w:p>
    <w:p>
      <w:pPr>
        <w:pStyle w:val="Heading2"/>
      </w:pPr>
      <w:r>
        <w:t xml:space="preserve">Step 8 - When do people leave, and how much are we hiring?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Of everyone who ever resigned (all-time, not limited to the selected period), how long they had been on the job before leaving. It shows whether people tend to leave early or after settling 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New hires per month, all-time - context for reading the retention charts alongside how much hiring was actually happening.</w:t>
            </w:r>
          </w:p>
        </w:tc>
      </w:tr>
    </w:tbl>
    <w:p>
      <w:pPr>
        <w:spacing w:after="30"/>
      </w:pPr>
      <w:r>
        <w:rPr>
          <w:rFonts w:ascii="Arial" w:cs="Arial" w:eastAsia="Arial" w:hAnsi="Arial"/>
          <w:color w:val="27251F"/>
          <w:sz w:val="21"/>
          <w:szCs w:val="21"/>
        </w:rPr>
        <w:t xml:space="preserve"/>
      </w:r>
    </w:p>
    <w:p>
      <w:pPr>
        <w:pStyle w:val="Heading2"/>
      </w:pPr>
      <w:r>
        <w:t xml:space="preserve">Step 9 - Store by store</w:t>
      </w:r>
    </w:p>
    <w:p>
      <w:pPr>
        <w:keepNext/>
        <w:spacing w:after="120" w:before="60"/>
        <w:jc w:val="center"/>
      </w:pPr>
      <w:r>
        <w:drawing>
          <wp:inline distT="0" distB="0" distL="0" distR="0">
            <wp:extent cx="6953250" cy="23050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headcount and a tenure-band mix (how many employees fall in each tenure range), so you can see whether a store's team is mostly new or mostly experienced.</w:t>
      </w:r>
    </w:p>
    <w:p>
      <w:pPr>
        <w:pStyle w:val="Heading2"/>
      </w:pPr>
      <w:r>
        <w:t xml:space="preserve">Step 10 -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 average tenure of employees across all their stores.</w:t>
      </w:r>
    </w:p>
    <w:p>
      <w:pPr>
        <w:pStyle w:val="Heading1"/>
        <w:pageBreakBefore/>
      </w:pPr>
      <w:r>
        <w:t xml:space="preserve">Exit Interviews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Exit Interviews</w:t>
      </w:r>
    </w:p>
    <w:p>
      <w:pPr>
        <w:spacing w:after="90" w:line="290"/>
      </w:pPr>
      <w:r>
        <w:rPr>
          <w:rFonts w:ascii="Arial" w:cs="Arial" w:eastAsia="Arial" w:hAnsi="Arial"/>
          <w:color w:val="27251F"/>
          <w:sz w:val="21"/>
          <w:szCs w:val="21"/>
        </w:rPr>
        <w:t xml:space="preserve">Use this page to understand why people leave, in aggregate. It summarises what departing employees said in their exit interviews: reasons for leaving, whether they would return, ratings on training, fairness and workload, and free-text comments, for resignations in the selected period. Individual responses are never identified.</w:t>
      </w:r>
    </w:p>
    <w:p>
      <w:pPr>
        <w:pStyle w:val="Heading2"/>
      </w:pPr>
      <w:r>
        <w:t xml:space="preserve">Step 1 - Choose the period and your scope</w:t>
      </w:r>
    </w:p>
    <w:p>
      <w:pPr>
        <w:keepNext/>
        <w:spacing w:after="120" w:before="60"/>
        <w:jc w:val="center"/>
      </w:pPr>
      <w:r>
        <w:drawing>
          <wp:inline distT="0" distB="0" distL="0" distR="0">
            <wp:extent cx="6953250" cy="93345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Store Leader, Operation Consultant or Operation Manager filters every chart, table and comment on this page to just that selection. The Year/Months filter scopes everything to resignations that happened in that period.</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9144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1590675" cy="9144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914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1590675" cy="9144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914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1590675" cy="9144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914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1590675" cy="914400"/>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Positive Sentiment and Would Return - together they tell you how people feel when they leave.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exit interviews for your current filters.</w:t>
      </w:r>
    </w:p>
    <w:p>
      <w:pPr>
        <w:pStyle w:val="Heading2"/>
      </w:pPr>
      <w:r>
        <w:t xml:space="preserve">Step 4 - Why do people leave?</w:t>
      </w:r>
    </w:p>
    <w:p>
      <w:pPr>
        <w:keepNext/>
        <w:spacing w:after="120" w:before="60"/>
        <w:jc w:val="center"/>
      </w:pPr>
      <w:r>
        <w:drawing>
          <wp:inline distT="0" distB="0" distL="0" distR="0">
            <wp:extent cx="6953250" cy="19621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reasons employees gave for resigning, ranked by how often each was cited.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top reasons are where your retention effort should go first.</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9067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3286125" cy="15906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the top resignation reasons have trended month over month.</w:t>
            </w:r>
          </w:p>
        </w:tc>
      </w:tr>
    </w:tbl>
    <w:p>
      <w:pPr>
        <w:spacing w:after="30"/>
      </w:pPr>
      <w:r>
        <w:rPr>
          <w:rFonts w:ascii="Arial" w:cs="Arial" w:eastAsia="Arial" w:hAnsi="Arial"/>
          <w:color w:val="27251F"/>
          <w:sz w:val="21"/>
          <w:szCs w:val="21"/>
        </w:rPr>
        <w:t xml:space="preserve"/>
      </w:r>
    </w:p>
    <w:p>
      <w:pPr>
        <w:pStyle w:val="Heading2"/>
      </w:pPr>
      <w:r>
        <w:t xml:space="preserve">Step 5 - Would they come back?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Whether departing employees said they would consider returning to work here in the future.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For each top reason, the share of people who said they would work here again. It shows which reasons tend to be "final" and which are more circumstantial.</w:t>
            </w:r>
          </w:p>
        </w:tc>
      </w:tr>
    </w:tbl>
    <w:p>
      <w:pPr>
        <w:spacing w:after="30"/>
      </w:pPr>
      <w:r>
        <w:rPr>
          <w:rFonts w:ascii="Arial" w:cs="Arial" w:eastAsia="Arial" w:hAnsi="Arial"/>
          <w:color w:val="27251F"/>
          <w:sz w:val="21"/>
          <w:szCs w:val="21"/>
        </w:rPr>
        <w:t xml:space="preserve"/>
      </w:r>
    </w:p>
    <w:p>
      <w:pPr>
        <w:pStyle w:val="Heading2"/>
      </w:pPr>
      <w:r>
        <w:t xml:space="preserve">Step 6 - How did they rate their experience?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departing employees rated their overall experience working here.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departing employees rated the training they received.</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departing employees rated whether they were treated fairly.</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165735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departing employees rated their workload and working conditions.</w:t>
      </w:r>
    </w:p>
    <w:p>
      <w:pPr>
        <w:keepNext/>
        <w:spacing w:after="120" w:before="60"/>
        <w:jc w:val="center"/>
      </w:pPr>
      <w:r>
        <w:drawing>
          <wp:inline distT="0" distB="0" distL="0" distR="0">
            <wp:extent cx="6953250" cy="165735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Among employees who cited work pressure as a reason for leaving, a breakdown of what specifically they pointed to.</w:t>
      </w:r>
    </w:p>
    <w:p>
      <w:pPr>
        <w:pStyle w:val="Heading2"/>
      </w:pPr>
      <w:r>
        <w:t xml:space="preserve">Step 7 - Engagement drivers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3286125" cy="19716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49555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3286125" cy="2495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share of people who answered positively on each engagement driver, lowest first, shown as a chart and as the same list. The drivers at the top need the most attention.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pick the lowest one or two drivers and agree with the Operation Consultant what will change in the stores concerned.</w:t>
      </w:r>
    </w:p>
    <w:p>
      <w:pPr>
        <w:pStyle w:val="Heading2"/>
      </w:pPr>
      <w:r>
        <w:t xml:space="preserve">Step 8 - Who is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906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3286125" cy="15906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interview responses grouped by the departing employee's job title.</w:t>
            </w:r>
          </w:p>
        </w:tc>
      </w:tr>
    </w:tbl>
    <w:p>
      <w:pPr>
        <w:spacing w:after="30"/>
      </w:pPr>
      <w:r>
        <w:rPr>
          <w:rFonts w:ascii="Arial" w:cs="Arial" w:eastAsia="Arial" w:hAnsi="Arial"/>
          <w:color w:val="27251F"/>
          <w:sz w:val="21"/>
          <w:szCs w:val="21"/>
        </w:rPr>
        <w:t xml:space="preserve"/>
      </w:r>
    </w:p>
    <w:p>
      <w:pPr>
        <w:pStyle w:val="Heading2"/>
      </w:pPr>
      <w:r>
        <w:t xml:space="preserve">Step 9 - Read what people wrote</w:t>
      </w:r>
    </w:p>
    <w:p>
      <w:pPr>
        <w:keepNext/>
        <w:spacing w:after="120" w:before="60"/>
        <w:jc w:val="center"/>
      </w:pPr>
      <w:r>
        <w:drawing>
          <wp:inline distT="0" distB="0" distL="0" distR="0">
            <wp:extent cx="6953250" cy="245745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free-text comments departing employees left in their exit interview, searchable and filterable by question.</w:t>
      </w:r>
    </w:p>
    <w:p>
      <w:pPr>
        <w:keepNext/>
        <w:spacing w:after="120" w:before="60"/>
        <w:jc w:val="center"/>
      </w:pPr>
      <w:r>
        <w:drawing>
          <wp:inline distT="0" distB="0" distL="0" distR="0">
            <wp:extent cx="6953250" cy="245745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What departing employees said they would change about the job or store, sorted by store and date - a separate free-text field from the general comments table above.</w:t>
      </w:r>
    </w:p>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6953250" cy="4000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6953250" cy="4000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risk signal (reason) is driving flags most often across the watch list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many watch-listed employees fall into each star rating (1 through 5), so you can see the overall risk distribution.</w:t>
            </w:r>
          </w:p>
        </w:tc>
      </w:tr>
    </w:tbl>
    <w:p>
      <w:pPr>
        <w:spacing w:after="30"/>
      </w:pPr>
      <w:r>
        <w:rPr>
          <w:rFonts w:ascii="Arial" w:cs="Arial" w:eastAsia="Arial" w:hAnsi="Arial"/>
          <w:color w:val="27251F"/>
          <w:sz w:val="21"/>
          <w:szCs w:val="21"/>
        </w:rPr>
        <w:t xml:space="preserve"/>
      </w:r>
    </w:p>
    <w:p>
      <w:pPr>
        <w:pStyle w:val="Heading2"/>
      </w:pPr>
      <w:r>
        <w:t xml:space="preserve">Step 5 - Where is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Watch-listed employees grouped by store, so you can see which stores carry the most flight-risk headcount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Only the highest-risk (4-5 star) employees, grouped by store.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tc>
      </w:tr>
    </w:tbl>
    <w:p>
      <w:pPr>
        <w:spacing w:after="30"/>
      </w:pPr>
      <w:r>
        <w:rPr>
          <w:rFonts w:ascii="Arial" w:cs="Arial" w:eastAsia="Arial" w:hAnsi="Arial"/>
          <w:color w:val="27251F"/>
          <w:sz w:val="21"/>
          <w:szCs w:val="21"/>
        </w:rPr>
        <w:t xml:space="preserve"/>
      </w:r>
    </w:p>
    <w:p>
      <w:pPr>
        <w:pStyle w:val="Heading2"/>
      </w:pPr>
      <w:r>
        <w:t xml:space="preserve">Step 6 - Is the watch list growing?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the size of the watch list has trended over time.</w:t>
            </w:r>
          </w:p>
        </w:tc>
      </w:tr>
    </w:tbl>
    <w:p>
      <w:pPr>
        <w:spacing w:after="30"/>
      </w:pPr>
      <w:r>
        <w:rPr>
          <w:rFonts w:ascii="Arial" w:cs="Arial" w:eastAsia="Arial" w:hAnsi="Arial"/>
          <w:color w:val="27251F"/>
          <w:sz w:val="21"/>
          <w:szCs w:val="21"/>
        </w:rPr>
        <w:t xml:space="preserve"/>
      </w:r>
    </w:p>
    <w:p>
      <w:pPr>
        <w:pStyle w:val="Heading2"/>
      </w:pPr>
      <w:r>
        <w:t xml:space="preserve">Step 7 - Who needs attention first?</w:t>
      </w:r>
    </w:p>
    <w:p>
      <w:pPr>
        <w:keepNext/>
        <w:spacing w:after="120" w:before="60"/>
        <w:jc w:val="center"/>
      </w:pPr>
      <w:r>
        <w:drawing>
          <wp:inline distT="0" distB="0" distL="0" distR="0">
            <wp:extent cx="6953250" cy="2152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6953250" cy="2657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6953250" cy="2657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6953250" cy="93345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6953250" cy="306705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6953250" cy="3067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70" w:line="27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3286125" cy="1095375"/>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3286125" cy="914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val="false"/>
        <w:spacing w:after="120" w:before="60"/>
        <w:jc w:val="center"/>
      </w:pPr>
      <w:r>
        <w:drawing>
          <wp:inline distT="0" distB="0" distL="0" distR="0">
            <wp:extent cx="6953250" cy="7143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6953250" cy="714375"/>
                    </a:xfrm>
                    <a:prstGeom prst="rect">
                      <a:avLst/>
                    </a:prstGeom>
                  </pic:spPr>
                </pic:pic>
              </a:graphicData>
            </a:graphic>
          </wp:inline>
        </w:drawing>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1590675" cy="118110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8115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3286125" cy="1581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1932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3286125"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assignment history lists each store, period, headcount and turnover for the leader. Transfers are highlighted in the timeline.</w:t>
            </w:r>
          </w:p>
        </w:tc>
      </w:tr>
    </w:tbl>
    <w:p>
      <w:pPr>
        <w:spacing w:after="30"/>
      </w:pPr>
      <w:r>
        <w:rPr>
          <w:rFonts w:ascii="Arial" w:cs="Arial" w:eastAsia="Arial" w:hAnsi="Arial"/>
          <w:color w:val="27251F"/>
          <w:sz w:val="21"/>
          <w:szCs w:val="21"/>
        </w:rPr>
        <w:t xml:space="preserve"/>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Exit Sentiment: the top leaving reasons over time.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Reasons for Leaving: the reasons employees gave for resigning.</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Would Return: whether leaving employees would consider coming back.</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Experience: how leaving employees rated their experience.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Engagement Drivers: the share who answered positively on each driver, lowest first.</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3286125"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Leaving Reason vs Would Return: for each top reason, the share who said they would work here again.</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3286125" cy="1733550"/>
                          </a:xfrm>
                          <a:prstGeom prst="rect">
                            <a:avLst/>
                          </a:prstGeom>
                        </pic:spPr>
                      </pic:pic>
                    </a:graphicData>
                  </a:graphic>
                </wp:inline>
              </w:drawing>
            </w:r>
          </w:p>
          <w:p>
            <w:pPr>
              <w:keepNext/>
              <w:spacing w:after="120" w:before="60"/>
              <w:jc w:val="center"/>
            </w:pPr>
            <w:r>
              <w:drawing>
                <wp:inline distT="0" distB="0" distL="0" distR="0">
                  <wp:extent cx="3286125" cy="173355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3286125" cy="17335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3286125" cy="1733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Workload Condition, Training and Fair Treatment: how leaving employees rated each of them.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3286125" cy="13620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Responses by Job Title: the exit responses grouped by the leaving employee's job title.</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230505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1590675" cy="107632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 See the Action Plan Guide, next, for the full explanation.</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6953250" cy="1657350"/>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6953250" cy="2447925"/>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p>
      <w:pPr>
        <w:pStyle w:val="Heading1"/>
        <w:pageBreakBefore/>
      </w:pPr>
      <w:r>
        <w:t xml:space="preserve">Action Plan Guide</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  &gt;  Action Plan Guide</w:t>
      </w:r>
    </w:p>
    <w:p>
      <w:pPr>
        <w:spacing w:after="90" w:line="290"/>
      </w:pPr>
      <w:r>
        <w:rPr>
          <w:rFonts w:ascii="Arial" w:cs="Arial" w:eastAsia="Arial" w:hAnsi="Arial"/>
          <w:color w:val="27251F"/>
          <w:sz w:val="21"/>
          <w:szCs w:val="21"/>
        </w:rPr>
        <w:t xml:space="preserve">This is the portal's own reference page. It explains, in plain business language, how the Action Center works end to end: how every store's Store Health Index is computed from six weighted pillars, how the specific root cause behind each pillar is surfaced (including the real exit-interview drivers rather than a vague "culture" label), how a formal Action Plan is triggered and tracked, and how a weighted, evidence-linked action plan is generated and eventually closed. It is read-only and does not change any data or settings.</w:t>
      </w:r>
    </w:p>
    <w:p>
      <w:pPr>
        <w:pStyle w:val="Heading2"/>
      </w:pPr>
      <w:r>
        <w:t xml:space="preserve">What is on the page</w:t>
      </w:r>
    </w:p>
    <w:p>
      <w:pPr>
        <w:keepNext w:val="false"/>
        <w:spacing w:after="120" w:before="60"/>
        <w:jc w:val="center"/>
      </w:pPr>
      <w:r>
        <w:drawing>
          <wp:inline distT="0" distB="0" distL="0" distR="0">
            <wp:extent cx="6953250" cy="60960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6953250" cy="609600"/>
                    </a:xfrm>
                    <a:prstGeom prst="rect">
                      <a:avLst/>
                    </a:prstGeom>
                  </pic:spPr>
                </pic:pic>
              </a:graphicData>
            </a:graphic>
          </wp:inline>
        </w:drawing>
      </w:r>
    </w:p>
    <w:p>
      <w:pPr>
        <w:keepNext/>
        <w:spacing w:after="120" w:before="60"/>
        <w:jc w:val="center"/>
      </w:pPr>
      <w:r>
        <w:drawing>
          <wp:inline distT="0" distB="0" distL="0" distR="0">
            <wp:extent cx="6953250" cy="67627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6953250" cy="67627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page is a list of sections. Click a section title to open it, and click it again to close it.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cantSplit/>
          <w:tblHeader/>
        </w:trPr>
        <w:tc>
          <w:tcPr>
            <w:tcW w:type="dxa" w:w="3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Section</w:t>
            </w:r>
          </w:p>
        </w:tc>
        <w:tc>
          <w:tcPr>
            <w:tcW w:type="dxa" w:w="5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explains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Is an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a formal Action Plan is.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Two Layers: Continuous Health Score + Formal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difference between the health score every store always has, and the formal plan that opens only when a signal fires.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Health Pillars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pillars behind the Store Health Index and their weights.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Health Score Is Computed</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each pillar is compared with the company average and combined into a 0-100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Severity Tiers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tiers a health score falls into (Critical, High, Medium, Low, Healthy).</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Root-Cause Diagnosis: Engagement Drivers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exit-interview drivers behind the engagement pillar are surfaced.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Outlook</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number of high-risk employees and a store being below its projected headcount feed the health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Plan Lifecycle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stages a plan goes through, from signal to closure.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Signal Detection and Persistence Rule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7 signals that can open a plan, and when a signal counts as persistent.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Severity vs. Health Tier</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Why a plan's severity and a store's health tier are two different things.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Target Resolution Date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target date is set (90 days, or 30 days if the plan is already Critical).</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Weighted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concrete actions are ranked by impact.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Inside a Store's Action Center Detail Page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you will find when you open a store.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Monthly Monitoring, Healthy Streak, Closure &amp; Outcomes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a plan is tracked, and how and when it closes.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Continuing vs. Chronic / Recurring</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repeated plans are labelled.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End-to-End Example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 worked example from signal to closure.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"What Is an Action Plan?" and "The Six Health Pillars" first, then use the rest as a reference whenever a number on the Action Center page raises a question.</w:t>
      </w:r>
    </w:p>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4"/>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4"/>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4"/>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4"/>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4"/>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val="false"/>
        <w:spacing w:after="120" w:before="60"/>
        <w:jc w:val="center"/>
      </w:pPr>
      <w:r>
        <w:drawing>
          <wp:inline distT="0" distB="0" distL="0" distR="0">
            <wp:extent cx="4000500" cy="1047750"/>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1047750"/>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4000500" cy="7048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val="false"/>
        <w:spacing w:after="120" w:before="60"/>
        <w:jc w:val="center"/>
      </w:pPr>
      <w:r>
        <w:drawing>
          <wp:inline distT="0" distB="0" distL="0" distR="0">
            <wp:extent cx="4000500" cy="790575"/>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val="false"/>
        <w:spacing w:after="120" w:before="60"/>
        <w:jc w:val="center"/>
      </w:pPr>
      <w:r>
        <w:drawing>
          <wp:inline distT="0" distB="0" distL="0" distR="0">
            <wp:extent cx="4000500" cy="523875"/>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6953250" cy="1000125"/>
            <wp:effectExtent t="0" r="0" b="0" l="0"/>
            <wp:docPr id="2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descr=""/>
                    <pic:cNvPicPr>
                      <a:picLocks noChangeAspect="1" noChangeArrowheads="1"/>
                    </pic:cNvPicPr>
                  </pic:nvPicPr>
                  <pic:blipFill>
                    <a:blip r:embed="rId270"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p>
      <w:pPr>
        <w:keepNext w:val="false"/>
        <w:spacing w:after="120" w:before="60"/>
        <w:jc w:val="center"/>
      </w:pPr>
      <w:r>
        <w:drawing>
          <wp:inline distT="0" distB="0" distL="0" distR="0">
            <wp:extent cx="6953250" cy="733425"/>
            <wp:effectExtent t="0" r="0" b="0" l="0"/>
            <wp:docPr id="2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 descr=""/>
                    <pic:cNvPicPr>
                      <a:picLocks noChangeAspect="1" noChangeArrowheads="1"/>
                    </pic:cNvPicPr>
                  </pic:nvPicPr>
                  <pic:blipFill>
                    <a:blip r:embed="rId271"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Overview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p>
      <w:pPr>
        <w:keepNext w:val="false"/>
        <w:spacing w:after="120" w:before="60"/>
        <w:jc w:val="center"/>
      </w:pPr>
      <w:r>
        <w:drawing>
          <wp:inline distT="0" distB="0" distL="0" distR="0">
            <wp:extent cx="6953250" cy="1552575"/>
            <wp:effectExtent t="0" r="0" b="0" l="0"/>
            <wp:docPr id="2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 descr=""/>
                    <pic:cNvPicPr>
                      <a:picLocks noChangeAspect="1" noChangeArrowheads="1"/>
                    </pic:cNvPicPr>
                  </pic:nvPicPr>
                  <pic:blipFill>
                    <a:blip r:embed="rId272" cstate="none"/>
                    <a:srcRect/>
                    <a:stretch>
                      <a:fillRect/>
                    </a:stretch>
                  </pic:blipFill>
                  <pic:spPr bwMode="auto">
                    <a:xfrm>
                      <a:off x="0" y="0"/>
                      <a:ext cx="6953250" cy="15525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 - Detailed Data</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p>
      <w:pPr>
        <w:keepNext w:val="false"/>
        <w:spacing w:after="120" w:before="60"/>
        <w:jc w:val="center"/>
      </w:pPr>
      <w:r>
        <w:drawing>
          <wp:inline distT="0" distB="0" distL="0" distR="0">
            <wp:extent cx="6953250" cy="1657350"/>
            <wp:effectExtent t="0" r="0" b="0" l="0"/>
            <wp:docPr id="2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 descr=""/>
                    <pic:cNvPicPr>
                      <a:picLocks noChangeAspect="1" noChangeArrowheads="1"/>
                    </pic:cNvPicPr>
                  </pic:nvPicPr>
                  <pic:blipFill>
                    <a:blip r:embed="rId273" cstate="none"/>
                    <a:srcRect/>
                    <a:stretch>
                      <a:fillRect/>
                    </a:stretch>
                  </pic:blipFill>
                  <pic:spPr bwMode="auto">
                    <a:xfrm>
                      <a:off x="0" y="0"/>
                      <a:ext cx="6953250" cy="16573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p>
      <w:pPr>
        <w:keepNext w:val="false"/>
        <w:spacing w:after="120" w:before="60"/>
        <w:jc w:val="center"/>
      </w:pPr>
      <w:r>
        <w:drawing>
          <wp:inline distT="0" distB="0" distL="0" distR="0">
            <wp:extent cx="6953250" cy="733425"/>
            <wp:effectExtent t="0" r="0" b="0" l="0"/>
            <wp:docPr id="2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 descr=""/>
                    <pic:cNvPicPr>
                      <a:picLocks noChangeAspect="1" noChangeArrowheads="1"/>
                    </pic:cNvPicPr>
                  </pic:nvPicPr>
                  <pic:blipFill>
                    <a:blip r:embed="rId274"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OC / OM 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p>
      <w:pPr>
        <w:keepNext w:val="false"/>
        <w:spacing w:after="120" w:before="60"/>
        <w:jc w:val="center"/>
      </w:pPr>
      <w:r>
        <w:drawing>
          <wp:inline distT="0" distB="0" distL="0" distR="0">
            <wp:extent cx="6953250" cy="733425"/>
            <wp:effectExtent t="0" r="0" b="0" l="0"/>
            <wp:docPr id="2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 descr=""/>
                    <pic:cNvPicPr>
                      <a:picLocks noChangeAspect="1" noChangeArrowheads="1"/>
                    </pic:cNvPicPr>
                  </pic:nvPicPr>
                  <pic:blipFill>
                    <a:blip r:embed="rId275"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p>
      <w:pPr>
        <w:keepNext w:val="false"/>
        <w:spacing w:after="120" w:before="60"/>
        <w:jc w:val="center"/>
      </w:pPr>
      <w:r>
        <w:drawing>
          <wp:inline distT="0" distB="0" distL="0" distR="0">
            <wp:extent cx="6953250" cy="523875"/>
            <wp:effectExtent t="0" r="0" b="0" l="0"/>
            <wp:docPr id="2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 descr=""/>
                    <pic:cNvPicPr>
                      <a:picLocks noChangeAspect="1" noChangeArrowheads="1"/>
                    </pic:cNvPicPr>
                  </pic:nvPicPr>
                  <pic:blipFill>
                    <a:blip r:embed="rId276" cstate="none"/>
                    <a:srcRect/>
                    <a:stretch>
                      <a:fillRect/>
                    </a:stretch>
                  </pic:blipFill>
                  <pic:spPr bwMode="auto">
                    <a:xfrm>
                      <a:off x="0" y="0"/>
                      <a:ext cx="6953250" cy="5238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 Report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ageBreakBefore/>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keepNext w:val="false"/>
        <w:spacing w:after="120" w:before="60"/>
        <w:jc w:val="center"/>
      </w:pPr>
      <w:r>
        <w:drawing>
          <wp:inline distT="0" distB="0" distL="0" distR="0">
            <wp:extent cx="6953250" cy="304800"/>
            <wp:effectExtent t="0" r="0" b="0" l="0"/>
            <wp:docPr id="2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 descr=""/>
                    <pic:cNvPicPr>
                      <a:picLocks noChangeAspect="1" noChangeArrowheads="1"/>
                    </pic:cNvPicPr>
                  </pic:nvPicPr>
                  <pic:blipFill>
                    <a:blip r:embed="rId277" cstate="none"/>
                    <a:srcRect/>
                    <a:stretch>
                      <a:fillRect/>
                    </a:stretch>
                  </pic:blipFill>
                  <pic:spPr bwMode="auto">
                    <a:xfrm>
                      <a:off x="0" y="0"/>
                      <a:ext cx="6953250" cy="304800"/>
                    </a:xfrm>
                    <a:prstGeom prst="rect">
                      <a:avLst/>
                    </a:prstGeom>
                  </pic:spPr>
                </pic:pic>
              </a:graphicData>
            </a:graphic>
          </wp:inline>
        </w:drawing>
      </w:r>
    </w:p>
    <w:p>
      <w:pPr>
        <w:keepNext/>
        <w:spacing w:after="120" w:before="60"/>
        <w:jc w:val="center"/>
      </w:pPr>
      <w:r>
        <w:drawing>
          <wp:inline distT="0" distB="0" distL="0" distR="0">
            <wp:extent cx="6953250" cy="904875"/>
            <wp:effectExtent t="0" r="0" b="0" l="0"/>
            <wp:docPr id="2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 descr=""/>
                    <pic:cNvPicPr>
                      <a:picLocks noChangeAspect="1" noChangeArrowheads="1"/>
                    </pic:cNvPicPr>
                  </pic:nvPicPr>
                  <pic:blipFill>
                    <a:blip r:embed="rId278" cstate="none"/>
                    <a:srcRect/>
                    <a:stretch>
                      <a:fillRect/>
                    </a:stretch>
                  </pic:blipFill>
                  <pic:spPr bwMode="auto">
                    <a:xfrm>
                      <a:off x="0" y="0"/>
                      <a:ext cx="6953250" cy="9048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keepNext/>
        <w:spacing w:after="120" w:before="60"/>
        <w:jc w:val="center"/>
      </w:pPr>
      <w:r>
        <w:drawing>
          <wp:inline distT="0" distB="0" distL="0" distR="0">
            <wp:extent cx="6953250" cy="466725"/>
            <wp:effectExtent t="0" r="0" b="0" l="0"/>
            <wp:docPr id="2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 descr=""/>
                    <pic:cNvPicPr>
                      <a:picLocks noChangeAspect="1" noChangeArrowheads="1"/>
                    </pic:cNvPicPr>
                  </pic:nvPicPr>
                  <pic:blipFill>
                    <a:blip r:embed="rId279"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p>
      <w:pPr>
        <w:pStyle w:val="Heading1"/>
        <w:pageBreakBefore/>
      </w:pPr>
      <w:r>
        <w:t xml:space="preserve">Contact</w:t>
      </w:r>
    </w:p>
    <w:p>
      <w:pPr>
        <w:spacing w:after="90" w:line="290"/>
      </w:pPr>
      <w:r>
        <w:rPr>
          <w:rFonts w:ascii="Arial" w:cs="Arial" w:eastAsia="Arial" w:hAnsi="Arial"/>
          <w:color w:val="27251F"/>
          <w:sz w:val="21"/>
          <w:szCs w:val="21"/>
        </w:rPr>
        <w:t xml:space="preserve">For questions about the portal or the figures you see in it, please contact: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rPr>
          <w:cantSplit/>
          <w:tblHeader/>
        </w:trPr>
        <w:tc>
          <w:tcPr>
            <w:tcW w:type="dxa" w:w="54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Who</w:t>
            </w:r>
          </w:p>
        </w:tc>
        <w:tc>
          <w:tcPr>
            <w:tcW w:type="dxa" w:w="40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Email</w:t>
            </w:r>
          </w:p>
        </w:tc>
      </w:tr>
      <w:tr>
        <w:trPr>
          <w:cantSplit/>
          <w:tblHeader w:val="false"/>
        </w:trPr>
        <w:tc>
          <w:tcPr>
            <w:tcW w:type="dxa" w:w="54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Human Resources - Compensation &amp; Benefits</w:t>
            </w:r>
          </w:p>
        </w:tc>
        <w:tc>
          <w:tcPr>
            <w:tcW w:type="dxa" w:w="40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bcteam@mcdegypt.com</w:t>
            </w:r>
          </w:p>
        </w:tc>
      </w:tr>
    </w:tbl>
    <w:p>
      <w:pPr>
        <w:spacing w:after="40"/>
      </w:pPr>
      <w:r>
        <w:rPr>
          <w:rFonts w:ascii="Arial" w:cs="Arial" w:eastAsia="Arial" w:hAnsi="Arial"/>
          <w:color w:val="27251F"/>
          <w:sz w:val="21"/>
          <w:szCs w:val="21"/>
        </w:rPr>
        <w:t xml:space="preserve"/>
      </w:r>
    </w:p>
    <w:sectPr>
      <w:headerReference w:type="default" r:id="rId7"/>
      <w:footerReference w:type="default" r:id="rId8"/>
      <w:type w:val="nextPage"/>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2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540" w:hanging="260"/>
      </w:pPr>
    </w:lvl>
  </w:abstractNum>
  <w:abstractNum w:abstractNumId="4" w15:restartNumberingAfterBreak="0">
    <w:multiLevelType w:val="hybridMultilevel"/>
    <w:lvl w:ilvl="0" w15:tentative="1">
      <w:start w:val="1"/>
      <w:numFmt w:val="bullet"/>
      <w:lvlText w:val="•"/>
      <w:lvlJc w:val="left"/>
      <w:pPr>
        <w:ind w:left="540" w:hanging="260"/>
      </w:pPr>
    </w:lvl>
  </w:abstractNum>
  <w:abstractNum w:abstractNumId="5" w15:restartNumberingAfterBreak="0">
    <w:multiLevelType w:val="hybridMultilevel"/>
    <w:lvl w:ilvl="0" w15:tentative="1">
      <w:start w:val="1"/>
      <w:numFmt w:val="bullet"/>
      <w:lvlText w:val="•"/>
      <w:lvlJc w:val="left"/>
      <w:pPr>
        <w:ind w:left="540" w:hanging="260"/>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3b3953f9864f60423edd8ab0cfe01bcd523310.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s>
</file>

<file path=word/_rels/header1.xml.rels><?xml version='1.0' encoding='UTF-8' standalone='yes'?>
<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Un-named</cp:lastModifiedBy>
  <cp:revision>1</cp:revision>
  <dcterms:created xsi:type="dcterms:W3CDTF">2026-10-06T20:09:07.220Z</dcterms:created>
  <dcterms:modified xsi:type="dcterms:W3CDTF">2026-10-06T20:09:07.220Z</dcterms:modified>
</cp:coreProperties>
</file>

<file path=docProps/custom.xml><?xml version="1.0" encoding="utf-8"?>
<Properties xmlns="http://schemas.openxmlformats.org/officeDocument/2006/custom-properties" xmlns:vt="http://schemas.openxmlformats.org/officeDocument/2006/docPropsVTypes"/>
</file>