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Comparisons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Comparisons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see whether things got better or worse. It compares two periods side by side, Period A and Period B, each with its own independent filters. Every card, chart and table shows both periods together plus the change between them.</w:t>
      </w:r>
    </w:p>
    <w:p>
      <w:pPr>
        <w:pStyle w:val="Heading2"/>
      </w:pPr>
      <w:r>
        <w:t xml:space="preserve">Step 1 - Choose the two periods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Period A and Period B each have their own year, months, store, Operation Manager, Operation Consultant, Senior Operation Consultant and Operation Director filters - they do not have to match. The "Same months as A, last year" button fills Period B with the same filters as Period A but one year earlier, which is the quickest way to compare year over year.</w:t>
      </w:r>
    </w:p>
    <w:p>
      <w:pPr>
        <w:pStyle w:val="Heading2"/>
      </w:pPr>
      <w:r>
        <w:t xml:space="preserve">Step 2 -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sentences that summarise how Period A compares with Period B for your current filters.</w:t>
      </w:r>
    </w:p>
    <w:p>
      <w:pPr>
        <w:pStyle w:val="Heading2"/>
      </w:pPr>
      <w:r>
        <w:t xml:space="preserve">Step 3 - Compare the headline numbers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Headcount, New Hires, Resignations, Turnover Rate, Early Leavers and 90-Day Rate for Period A and Period B side by side, each with the change between them and whether that change is an improvement or not.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Turnover Rate and 90-Day Rate changes first - they tell you immediately whether retention improved.</w:t>
      </w:r>
    </w:p>
    <w:p>
      <w:pPr>
        <w:pStyle w:val="Heading2"/>
      </w:pPr>
      <w:r>
        <w:t xml:space="preserve">Step 4 - Which stores got better or worse?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Turnover Rate per store for Period A vs Period B, as paired bars. When no store is selected, the chart shows the top 8 stores by combined A+B rate.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90-Day Rate per store for Period A vs Period B, as paired bars, using the same months and filters as the comparison.</w:t>
            </w:r>
          </w:p>
          <w:p>
            <w:pPr>
              <w:spacing w:after="90" w:line="290"/>
            </w:pPr>
            <w:r>
              <w:rPr>
                <w:rFonts w:ascii="Arial" w:cs="Arial" w:eastAsia="Arial" w:hAnsi="Arial"/>
                <w:b/>
                <w:bCs/>
                <w:color w:val="27251F"/>
                <w:sz w:val="21"/>
                <w:szCs w:val="21"/>
              </w:rPr>
              <w:t xml:space="preserve">Then decide: </w:t>
            </w: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stores where the Period B bar is much higher than Period A need a conversation with their Operation Consultant.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5 - Headcount and resignations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190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Active headcount per store for Period A vs Period B, as paired bars - or the total headcount for both periods when a single store is selected.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190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Resignation count per store for Period A vs Period B. It shows counts, not a percentage.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6 - Are people staying longer?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Retention rate at the 6-month, 1-year and later milestones for Period A vs Period B, for hire cohorts old enough to be eligible at each milestone.</w:t>
      </w:r>
    </w:p>
    <w:p>
      <w:pPr>
        <w:pStyle w:val="Heading2"/>
      </w:pPr>
      <w:r>
        <w:t xml:space="preserve">Step 7 - Why are people leaving?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409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The most common reasons recorded in exit interviews, Period A vs Period B, so you can see whether the same reasons dominate or the mix shifted.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409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Positive exit-interview sentiment and how many interviews were submitted, Period A vs Period B.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8 - Store by store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Every store with its Turnover Rate and 90-Day Rate in both periods, plus the change between them. It is shown when both periods use "All Stores". Click a column header to sort.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0bb6b4cb53d6eba3c18c435f4e8acafb65418c.png"/><Relationship Id="rId10" Type="http://schemas.openxmlformats.org/officeDocument/2006/relationships/image" Target="media/0a7dab726b3c4123ea8743edaa6d9da6a51a19fb.png"/><Relationship Id="rId11" Type="http://schemas.openxmlformats.org/officeDocument/2006/relationships/image" Target="media/4d06ca9f1024b14c0b74e493e349124cd67ba3b3.png"/><Relationship Id="rId12" Type="http://schemas.openxmlformats.org/officeDocument/2006/relationships/image" Target="media/04f9523c3f1c624093ebcc4d5a3b585044ba4519.png"/><Relationship Id="rId13" Type="http://schemas.openxmlformats.org/officeDocument/2006/relationships/image" Target="media/d5417f06b8fbcf845a7483f204aebfe55f1c0ce3.png"/><Relationship Id="rId14" Type="http://schemas.openxmlformats.org/officeDocument/2006/relationships/image" Target="media/e0176cd6332c7181bb77b9f606012bdd2ba31188.png"/><Relationship Id="rId15" Type="http://schemas.openxmlformats.org/officeDocument/2006/relationships/image" Target="media/727342f3d950a501cf9b5d21582e4e2821007fea.png"/><Relationship Id="rId16" Type="http://schemas.openxmlformats.org/officeDocument/2006/relationships/image" Target="media/d92e6aa27eddc7e5ee34e8065e8b62495ec75837.png"/><Relationship Id="rId17" Type="http://schemas.openxmlformats.org/officeDocument/2006/relationships/image" Target="media/a9877e1bc40f92990f9d24f3e5cfb7727a9ef10e.png"/><Relationship Id="rId18" Type="http://schemas.openxmlformats.org/officeDocument/2006/relationships/image" Target="media/9126d0470ddc225535a7d3b83283bf38d0a13871.png"/><Relationship Id="rId19" Type="http://schemas.openxmlformats.org/officeDocument/2006/relationships/image" Target="media/44dff2d682d4a6539e182ab23d84e745378de43c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Comparisons</dc:title>
  <dc:creator>McDonald's Egypt</dc:creator>
  <cp:lastModifiedBy>Un-named</cp:lastModifiedBy>
  <cp:revision>1</cp:revision>
  <dcterms:created xsi:type="dcterms:W3CDTF">2026-10-06T20:09:09.618Z</dcterms:created>
  <dcterms:modified xsi:type="dcterms:W3CDTF">2026-10-06T20:09:09.619Z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