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ageBreakBefore/>
      </w:pPr>
      <w:r>
        <w:t xml:space="preserve">Comparisons</w:t>
      </w:r>
    </w:p>
    <w:p>
      <w:pPr>
        <w:spacing w:after="90" w:line="29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Where to find it: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Side menu  &gt;  Comparisons</w:t>
      </w:r>
    </w:p>
    <w:p>
      <w:pPr>
        <w:spacing w:after="90" w:line="290"/>
      </w:pPr>
      <w:r>
        <w:rPr>
          <w:rFonts w:ascii="Arial" w:cs="Arial" w:eastAsia="Arial" w:hAnsi="Arial"/>
          <w:color w:val="27251F"/>
          <w:sz w:val="21"/>
          <w:szCs w:val="21"/>
        </w:rPr>
        <w:t xml:space="preserve">Use this page to see whether things got better or worse. It compares two periods side by side, Period A and Period B, each with its own independent filters. Every card, chart and table shows both periods together plus the change between them.</w:t>
      </w:r>
    </w:p>
    <w:p>
      <w:pPr>
        <w:pStyle w:val="Heading2"/>
      </w:pPr>
      <w:r>
        <w:t xml:space="preserve">Step 1 - Choose the two periods</w:t>
      </w:r>
    </w:p>
    <w:p>
      <w:pPr>
        <w:keepNext/>
        <w:spacing w:after="120" w:before="60"/>
        <w:jc w:val="center"/>
      </w:pPr>
      <w:r>
        <w:drawing>
          <wp:inline distT="0" distB="0" distL="0" distR="0">
            <wp:extent cx="6953250" cy="202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line="270"/>
      </w:pPr>
      <w:r>
        <w:rPr>
          <w:rFonts w:ascii="Arial" w:cs="Arial" w:eastAsia="Arial" w:hAnsi="Arial"/>
          <w:color w:val="27251F"/>
          <w:sz w:val="21"/>
          <w:szCs w:val="21"/>
        </w:rPr>
        <w:t xml:space="preserve">Period A and Period B each have their own year, months, store, Operation Manager, Operation Consultant, Senior Operation Consultant and Operation Director filters - they do not have to match. The "Same months as A, last year" button fills Period B with the same filters as Period A but one year earlier, which is the quickest way to compare year over year.</w:t>
      </w:r>
    </w:p>
    <w:p>
      <w:pPr>
        <w:pStyle w:val="Heading2"/>
      </w:pPr>
      <w:r>
        <w:t xml:space="preserve">Step 2 - Read the Smart Insights</w:t>
      </w:r>
    </w:p>
    <w:p>
      <w:pPr>
        <w:keepNext/>
        <w:spacing w:after="120" w:before="60"/>
        <w:jc w:val="center"/>
      </w:pPr>
      <w:r>
        <w:drawing>
          <wp:inline distT="0" distB="0" distL="0" distR="0">
            <wp:extent cx="6953250" cy="62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line="270"/>
      </w:pPr>
      <w:r>
        <w:rPr>
          <w:rFonts w:ascii="Arial" w:cs="Arial" w:eastAsia="Arial" w:hAnsi="Arial"/>
          <w:color w:val="27251F"/>
          <w:sz w:val="21"/>
          <w:szCs w:val="21"/>
        </w:rPr>
        <w:t xml:space="preserve">Automatic sentences that summarise how Period A compares with Period B for your current filters.</w:t>
      </w:r>
    </w:p>
    <w:p>
      <w:pPr>
        <w:pStyle w:val="Heading2"/>
      </w:pPr>
      <w:r>
        <w:t xml:space="preserve">Step 3 - Compare the headline numbers</w:t>
      </w:r>
    </w:p>
    <w:p>
      <w:pPr>
        <w:keepNext/>
        <w:spacing w:after="120" w:before="60"/>
        <w:jc w:val="center"/>
      </w:pPr>
      <w:r>
        <w:drawing>
          <wp:inline distT="0" distB="0" distL="0" distR="0">
            <wp:extent cx="695325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line="270"/>
      </w:pPr>
      <w:r>
        <w:rPr>
          <w:rFonts w:ascii="Arial" w:cs="Arial" w:eastAsia="Arial" w:hAnsi="Arial"/>
          <w:color w:val="27251F"/>
          <w:sz w:val="21"/>
          <w:szCs w:val="21"/>
        </w:rPr>
        <w:t xml:space="preserve">Headcount, New Hires, Resignations, Turnover Rate, Early Leavers and 90-Day Rate for Period A and Period B side by side, each with the change between them and whether that change is an improvement or not.</w:t>
      </w:r>
    </w:p>
    <w:p>
      <w:pPr>
        <w:spacing w:after="90" w:line="290"/>
      </w:pPr>
      <w:r>
        <w:rPr>
          <w:rFonts w:ascii="Arial" w:cs="Arial" w:eastAsia="Arial" w:hAnsi="Arial"/>
          <w:b/>
          <w:bCs/>
          <w:color w:val="27251F"/>
          <w:sz w:val="21"/>
          <w:szCs w:val="21"/>
        </w:rPr>
        <w:t xml:space="preserve">What to look at: </w:t>
      </w:r>
      <w:r>
        <w:rPr>
          <w:rFonts w:ascii="Arial" w:cs="Arial" w:eastAsia="Arial" w:hAnsi="Arial"/>
          <w:color w:val="27251F"/>
          <w:sz w:val="21"/>
          <w:szCs w:val="21"/>
        </w:rPr>
        <w:t xml:space="preserve">the Turnover Rate and 90-Day Rate changes first - they tell you immediately whether retention improved.</w:t>
      </w:r>
    </w:p>
    <w:p>
      <w:pPr>
        <w:pStyle w:val="Heading2"/>
      </w:pPr>
      <w:r>
        <w:t xml:space="preserve">Step 4 - Which stores got better or worse?</w:t>
      </w:r>
    </w:p>
    <w:tbl>
      <w:tblPr>
        <w:tblW w:type="dxa" w:w="11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550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60"/>
              <w:right w:type="dxa" w:w="70"/>
            </w:tcMar>
          </w:tcPr>
          <w:p>
            <w:pPr>
              <w:keepNext/>
              <w:spacing w:after="120" w:before="60"/>
              <w:jc w:val="center"/>
            </w:pPr>
            <w:r>
              <w:drawing>
                <wp:inline distT="0" distB="0" distL="0" distR="0">
                  <wp:extent cx="3286125" cy="2286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6125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0" w:line="270"/>
            </w:pPr>
            <w:r>
              <w:rPr>
                <w:rFonts w:ascii="Arial" w:cs="Arial" w:eastAsia="Arial" w:hAnsi="Arial"/>
                <w:color w:val="27251F"/>
                <w:sz w:val="21"/>
                <w:szCs w:val="21"/>
              </w:rPr>
              <w:t xml:space="preserve">Turnover Rate per store for Period A vs Period B, as paired bars. When no store is selected, the chart shows the top 8 stores by combined A+B rate.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60"/>
              <w:right w:type="dxa" w:w="70"/>
            </w:tcMar>
          </w:tcPr>
          <w:p>
            <w:pPr>
              <w:keepNext/>
              <w:spacing w:after="120" w:before="60"/>
              <w:jc w:val="center"/>
            </w:pPr>
            <w:r>
              <w:drawing>
                <wp:inline distT="0" distB="0" distL="0" distR="0">
                  <wp:extent cx="3286125" cy="2286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6125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0" w:line="270"/>
            </w:pPr>
            <w:r>
              <w:rPr>
                <w:rFonts w:ascii="Arial" w:cs="Arial" w:eastAsia="Arial" w:hAnsi="Arial"/>
                <w:color w:val="27251F"/>
                <w:sz w:val="21"/>
                <w:szCs w:val="21"/>
              </w:rPr>
              <w:t xml:space="preserve">90-Day Rate per store for Period A vs Period B, as paired bars, using the same months and filters as the comparison.</w:t>
            </w:r>
          </w:p>
          <w:p>
            <w:pPr>
              <w:spacing w:after="90" w:line="290"/>
            </w:pPr>
            <w:r>
              <w:rPr>
                <w:rFonts w:ascii="Arial" w:cs="Arial" w:eastAsia="Arial" w:hAnsi="Arial"/>
                <w:b/>
                <w:bCs/>
                <w:color w:val="27251F"/>
                <w:sz w:val="21"/>
                <w:szCs w:val="21"/>
              </w:rPr>
              <w:t xml:space="preserve">Then decide: </w:t>
            </w:r>
            <w:r>
              <w:rPr>
                <w:rFonts w:ascii="Arial" w:cs="Arial" w:eastAsia="Arial" w:hAnsi="Arial"/>
                <w:color w:val="27251F"/>
                <w:sz w:val="21"/>
                <w:szCs w:val="21"/>
              </w:rPr>
              <w:t xml:space="preserve">stores where the Period B bar is much higher than Period A need a conversation with their Operation Consultant.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color w:val="27251F"/>
          <w:sz w:val="21"/>
          <w:szCs w:val="21"/>
        </w:rPr>
        <w:t xml:space="preserve"/>
      </w:r>
    </w:p>
    <w:p>
      <w:pPr>
        <w:pStyle w:val="Heading2"/>
      </w:pPr>
      <w:r>
        <w:t xml:space="preserve">Step 5 - Headcount and resignations</w:t>
      </w:r>
    </w:p>
    <w:tbl>
      <w:tblPr>
        <w:tblW w:type="dxa" w:w="11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550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60"/>
              <w:right w:type="dxa" w:w="70"/>
            </w:tcMar>
          </w:tcPr>
          <w:p>
            <w:pPr>
              <w:keepNext/>
              <w:spacing w:after="120" w:before="60"/>
              <w:jc w:val="center"/>
            </w:pPr>
            <w:r>
              <w:drawing>
                <wp:inline distT="0" distB="0" distL="0" distR="0">
                  <wp:extent cx="3286125" cy="2190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6125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0" w:line="270"/>
            </w:pPr>
            <w:r>
              <w:rPr>
                <w:rFonts w:ascii="Arial" w:cs="Arial" w:eastAsia="Arial" w:hAnsi="Arial"/>
                <w:color w:val="27251F"/>
                <w:sz w:val="21"/>
                <w:szCs w:val="21"/>
              </w:rPr>
              <w:t xml:space="preserve">Active headcount per store for Period A vs Period B, as paired bars - or the total headcount for both periods when a single store is selected.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60"/>
              <w:right w:type="dxa" w:w="70"/>
            </w:tcMar>
          </w:tcPr>
          <w:p>
            <w:pPr>
              <w:keepNext/>
              <w:spacing w:after="120" w:before="60"/>
              <w:jc w:val="center"/>
            </w:pPr>
            <w:r>
              <w:drawing>
                <wp:inline distT="0" distB="0" distL="0" distR="0">
                  <wp:extent cx="3286125" cy="2190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6125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0" w:line="270"/>
            </w:pPr>
            <w:r>
              <w:rPr>
                <w:rFonts w:ascii="Arial" w:cs="Arial" w:eastAsia="Arial" w:hAnsi="Arial"/>
                <w:color w:val="27251F"/>
                <w:sz w:val="21"/>
                <w:szCs w:val="21"/>
              </w:rPr>
              <w:t xml:space="preserve">Resignation count per store for Period A vs Period B. It shows counts, not a percentage.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color w:val="27251F"/>
          <w:sz w:val="21"/>
          <w:szCs w:val="21"/>
        </w:rPr>
        <w:t xml:space="preserve"/>
      </w:r>
    </w:p>
    <w:p>
      <w:pPr>
        <w:pStyle w:val="Heading2"/>
      </w:pPr>
      <w:r>
        <w:t xml:space="preserve">Step 6 - Are people staying longer?</w:t>
      </w:r>
    </w:p>
    <w:p>
      <w:pPr>
        <w:keepNext/>
        <w:spacing w:after="120" w:before="60"/>
        <w:jc w:val="center"/>
      </w:pPr>
      <w:r>
        <w:drawing>
          <wp:inline distT="0" distB="0" distL="0" distR="0">
            <wp:extent cx="6953250" cy="221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line="270"/>
      </w:pPr>
      <w:r>
        <w:rPr>
          <w:rFonts w:ascii="Arial" w:cs="Arial" w:eastAsia="Arial" w:hAnsi="Arial"/>
          <w:color w:val="27251F"/>
          <w:sz w:val="21"/>
          <w:szCs w:val="21"/>
        </w:rPr>
        <w:t xml:space="preserve">Retention rate at the 6-month, 1-year and later milestones for Period A vs Period B, for hire cohorts old enough to be eligible at each milestone.</w:t>
      </w:r>
    </w:p>
    <w:p>
      <w:pPr>
        <w:pStyle w:val="Heading2"/>
      </w:pPr>
      <w:r>
        <w:t xml:space="preserve">Step 7 - Why are people leaving?</w:t>
      </w:r>
    </w:p>
    <w:tbl>
      <w:tblPr>
        <w:tblW w:type="dxa" w:w="11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550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60"/>
              <w:right w:type="dxa" w:w="70"/>
            </w:tcMar>
          </w:tcPr>
          <w:p>
            <w:pPr>
              <w:keepNext/>
              <w:spacing w:after="120" w:before="60"/>
              <w:jc w:val="center"/>
            </w:pPr>
            <w:r>
              <w:drawing>
                <wp:inline distT="0" distB="0" distL="0" distR="0">
                  <wp:extent cx="3286125" cy="2409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6125" cy="240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0" w:line="270"/>
            </w:pPr>
            <w:r>
              <w:rPr>
                <w:rFonts w:ascii="Arial" w:cs="Arial" w:eastAsia="Arial" w:hAnsi="Arial"/>
                <w:color w:val="27251F"/>
                <w:sz w:val="21"/>
                <w:szCs w:val="21"/>
              </w:rPr>
              <w:t xml:space="preserve">The most common reasons recorded in exit interviews, Period A vs Period B, so you can see whether the same reasons dominate or the mix shifted.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70"/>
              <w:bottom w:type="dxa" w:w="60"/>
              <w:right w:type="dxa" w:w="70"/>
            </w:tcMar>
          </w:tcPr>
          <w:p>
            <w:pPr>
              <w:keepNext/>
              <w:spacing w:after="120" w:before="60"/>
              <w:jc w:val="center"/>
            </w:pPr>
            <w:r>
              <w:drawing>
                <wp:inline distT="0" distB="0" distL="0" distR="0">
                  <wp:extent cx="3286125" cy="2409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6125" cy="240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0" w:line="270"/>
            </w:pPr>
            <w:r>
              <w:rPr>
                <w:rFonts w:ascii="Arial" w:cs="Arial" w:eastAsia="Arial" w:hAnsi="Arial"/>
                <w:color w:val="27251F"/>
                <w:sz w:val="21"/>
                <w:szCs w:val="21"/>
              </w:rPr>
              <w:t xml:space="preserve">Positive exit-interview sentiment and how many interviews were submitted, Period A vs Period B.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color w:val="27251F"/>
          <w:sz w:val="21"/>
          <w:szCs w:val="21"/>
        </w:rPr>
        <w:t xml:space="preserve"/>
      </w:r>
    </w:p>
    <w:p>
      <w:pPr>
        <w:pStyle w:val="Heading2"/>
      </w:pPr>
      <w:r>
        <w:t xml:space="preserve">Step 8 - Store by store</w:t>
      </w:r>
    </w:p>
    <w:p>
      <w:pPr>
        <w:keepNext/>
        <w:spacing w:after="120" w:before="60"/>
        <w:jc w:val="center"/>
      </w:pPr>
      <w:r>
        <w:drawing>
          <wp:inline distT="0" distB="0" distL="0" distR="0">
            <wp:extent cx="695325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line="270"/>
      </w:pPr>
      <w:r>
        <w:rPr>
          <w:rFonts w:ascii="Arial" w:cs="Arial" w:eastAsia="Arial" w:hAnsi="Arial"/>
          <w:color w:val="27251F"/>
          <w:sz w:val="21"/>
          <w:szCs w:val="21"/>
        </w:rPr>
        <w:t xml:space="preserve">Every store with its Turnover Rate and 90-Day Rate in both periods, plus the change between them. It is shown when both periods use "All Stores". Click a column header to sort.</w:t>
      </w:r>
    </w:p>
    <w:sectPr>
      <w:headerReference w:type="default" r:id="rId7"/>
      <w:footerReference w:type="default" r:id="rId8"/>
      <w:pgSz w:w="11906" w:h="16838" w:orient="portrait"/>
      <w:pgMar w:top="1500" w:right="432" w:bottom="994" w:left="432" w:header="706" w:footer="70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A291C" w:sz="12" w:space="4"/>
      </w:pBdr>
    </w:pPr>
    <w:r>
      <w:drawing>
        <wp:inline distT="0" distB="0" distL="0" distR="0">
          <wp:extent cx="323850" cy="285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b/>
        <w:bCs/>
        <w:color w:val="27251F"/>
        <w:sz w:val="18"/>
        <w:szCs w:val="18"/>
      </w:rPr>
      <w:t xml:space="preserve">   McDonald's Egypt - Crew Insights Hub  | 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20"/>
      <w:outlineLvl w:val="0"/>
    </w:pPr>
    <w:rPr>
      <w:rFonts w:ascii="Arial" w:cs="Arial" w:eastAsia="Arial" w:hAnsi="Arial"/>
      <w:b/>
      <w:bCs/>
      <w:color w:val="DA291C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left w:val="single" w:color="DA291C" w:sz="24" w:space="6"/>
      </w:pBdr>
      <w:spacing w:after="100" w:before="260"/>
      <w:outlineLvl w:val="1"/>
    </w:pPr>
    <w:rPr>
      <w:rFonts w:ascii="Arial" w:cs="Arial" w:eastAsia="Arial" w:hAnsi="Arial"/>
      <w:b/>
      <w:bCs/>
      <w:color w:val="2725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a0bb6b4cb53d6eba3c18c435f4e8acafb65418c.png"/><Relationship Id="rId10" Type="http://schemas.openxmlformats.org/officeDocument/2006/relationships/image" Target="media/0a7dab726b3c4123ea8743edaa6d9da6a51a19fb.png"/><Relationship Id="rId11" Type="http://schemas.openxmlformats.org/officeDocument/2006/relationships/image" Target="media/4d06ca9f1024b14c0b74e493e349124cd67ba3b3.png"/><Relationship Id="rId12" Type="http://schemas.openxmlformats.org/officeDocument/2006/relationships/image" Target="media/04f9523c3f1c624093ebcc4d5a3b585044ba4519.png"/><Relationship Id="rId13" Type="http://schemas.openxmlformats.org/officeDocument/2006/relationships/image" Target="media/d5417f06b8fbcf845a7483f204aebfe55f1c0ce3.png"/><Relationship Id="rId14" Type="http://schemas.openxmlformats.org/officeDocument/2006/relationships/image" Target="media/e0176cd6332c7181bb77b9f606012bdd2ba31188.png"/><Relationship Id="rId15" Type="http://schemas.openxmlformats.org/officeDocument/2006/relationships/image" Target="media/727342f3d950a501cf9b5d21582e4e2821007fea.png"/><Relationship Id="rId16" Type="http://schemas.openxmlformats.org/officeDocument/2006/relationships/image" Target="media/d92e6aa27eddc7e5ee34e8065e8b62495ec75837.png"/><Relationship Id="rId17" Type="http://schemas.openxmlformats.org/officeDocument/2006/relationships/image" Target="media/a9877e1bc40f92990f9d24f3e5cfb7727a9ef10e.png"/><Relationship Id="rId18" Type="http://schemas.openxmlformats.org/officeDocument/2006/relationships/image" Target="media/9126d0470ddc225535a7d3b83283bf38d0a13871.png"/><Relationship Id="rId19" Type="http://schemas.openxmlformats.org/officeDocument/2006/relationships/image" Target="media/44dff2d682d4a6539e182ab23d84e745378de43c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13b3953f9864f60423edd8ab0cfe01bcd52331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Comparisons</dc:title>
  <dc:creator>McDonald's Egypt</dc:creator>
  <cp:lastModifiedBy>Un-named</cp:lastModifiedBy>
  <cp:revision>1</cp:revision>
  <dcterms:created xsi:type="dcterms:W3CDTF">2026-10-06T19:57:35.566Z</dcterms:created>
  <dcterms:modified xsi:type="dcterms:W3CDTF">2026-10-06T19:57:35.566Z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