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 stores that tripped one of the 7 detection signals and got an Action Plan opened. This page always shows the current state of open and resolved plans, so there is no period filter.</w:t>
      </w:r>
    </w:p>
    <w:p>
      <w:pPr>
        <w:pStyle w:val="Heading2"/>
      </w:pPr>
      <w:r>
        <w:t xml:space="preserve">Step 1 -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71700" cy="14763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71700" cy="14763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14763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14763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14763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1476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tc>
      </w:tr>
    </w:tbl>
    <w:p>
      <w:pPr>
        <w:spacing w:after="30"/>
      </w:pPr>
      <w:r>
        <w:rPr>
          <w:rFonts w:ascii="Arial" w:cs="Arial" w:eastAsia="Arial" w:hAnsi="Arial"/>
          <w:color w:val="27251F"/>
          <w:sz w:val="21"/>
          <w:szCs w:val="21"/>
        </w:rPr>
        <w:t xml:space="preserve"/>
      </w:r>
    </w:p>
    <w:p>
      <w:pPr>
        <w:pStyle w:val="Heading2"/>
      </w:pPr>
      <w:r>
        <w:t xml:space="preserve">Step 4 - Which stores need action?</w:t>
      </w:r>
    </w:p>
    <w:p>
      <w:pPr>
        <w:keepNext/>
        <w:spacing w:after="120" w:before="60"/>
        <w:jc w:val="center"/>
      </w:pPr>
      <w:r>
        <w:drawing>
          <wp:inline distT="0" distB="0" distL="0" distR="0">
            <wp:extent cx="695325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3162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a column header to sort,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using that period's uploaded data: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Each plan gets a Target Resolution Date when it opens - 90 days out, or 30 days if it is already Critical - and resolves automatically once its store shows no signals for 2 consecutive evaluated periods. See the Action Plan Guide, next, for the full explanation.</w:t>
      </w:r>
    </w:p>
    <w:p>
      <w:pPr>
        <w:pStyle w:val="Heading2"/>
        <w:pageBreakBefore/>
      </w:pPr>
      <w:r>
        <w:t xml:space="preserve">Inside a store (Action Center Detail)</w:t>
      </w:r>
    </w:p>
    <w:p>
      <w:pPr>
        <w:spacing w:after="90" w:line="290"/>
      </w:pPr>
      <w:r>
        <w:rPr>
          <w:rFonts w:ascii="Arial" w:cs="Arial" w:eastAsia="Arial" w:hAnsi="Arial"/>
          <w:color w:val="27251F"/>
          <w:sz w:val="21"/>
          <w:szCs w:val="21"/>
        </w:rPr>
        <w:t xml:space="preserve">Click a store in the scorecard to open its own page. It is the single-store drill-down behind one row of the Action Center table: what specifically got flagged, the store's current metrics, its severity and Target Resolution Date, the recommended actions, and a place to track progress and leave notes until the plan is resolved. This page always shows one specific store. Use "Back" at the top to return.</w:t>
      </w:r>
    </w:p>
    <w:p>
      <w:pPr>
        <w:keepNext/>
        <w:spacing w:after="120" w:before="60"/>
        <w:jc w:val="center"/>
      </w:pPr>
      <w:r>
        <w:drawing>
          <wp:inline distT="0" distB="0" distL="0" distR="0">
            <wp:extent cx="695325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3048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header shows the store with its plan status (for example Active plan), its severity (for example Critical) and, where it applies, a label such as Chronic.</w:t>
      </w:r>
    </w:p>
    <w:p>
      <w:pPr>
        <w:pStyle w:val="Heading2"/>
      </w:pPr>
      <w:r>
        <w:t xml:space="preserve">Store Health Index</w:t>
      </w:r>
    </w:p>
    <w:p>
      <w:pPr>
        <w:keepNext/>
        <w:spacing w:after="120" w:before="60"/>
        <w:jc w:val="center"/>
      </w:pPr>
      <w:r>
        <w:drawing>
          <wp:inline distT="0" distB="0" distL="0" distR="0">
            <wp:extent cx="69532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3419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health score (0-100, 100 = healthy) with its tier, and the six pillars behind it: Overall Turnover, Early Attrition (90-Day), 6-Month Retention, Engagement, Leadership Stability and Workforce Outlook. Each pillar shows the evidence behind it, for example this store's turnover against the company average. The Engagement pillar lists the specific exit-interview drivers that scored worst.</w:t>
      </w:r>
    </w:p>
    <w:p>
      <w:pPr>
        <w:pStyle w:val="Heading2"/>
      </w:pPr>
      <w:r>
        <w:t xml:space="preserve">Weighted Action Plan</w:t>
      </w:r>
    </w:p>
    <w:p>
      <w:pPr>
        <w:keepNext/>
        <w:spacing w:after="120" w:before="60"/>
        <w:jc w:val="center"/>
      </w:pPr>
      <w:r>
        <w:drawing>
          <wp:inline distT="0" distB="0" distL="0" distR="0">
            <wp:extent cx="69532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2762250"/>
                    </a:xfrm>
                    <a:prstGeom prst="rect">
                      <a:avLst/>
                    </a:prstGeom>
                  </pic:spPr>
                </pic:pic>
              </a:graphicData>
            </a:graphic>
          </wp:inline>
        </w:drawing>
      </w:r>
    </w:p>
    <w:p>
      <w:pPr>
        <w:spacing w:after="70" w:line="270"/>
      </w:pPr>
      <w:r>
        <w:rPr>
          <w:rFonts w:ascii="Arial" w:cs="Arial" w:eastAsia="Arial" w:hAnsi="Arial"/>
          <w:color w:val="27251F"/>
          <w:sz w:val="21"/>
          <w:szCs w:val="21"/>
        </w:rPr>
        <w:t xml:space="preserve">Concrete actions ordered by impact weight, each tied to the pillar and the evidence that triggered it. Where the store has an open plan, matching actions can be checked off and stay in sync with its recommendations.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from the top of the list - those actions have the biggest impact on the store's health.</w:t>
      </w:r>
    </w:p>
    <w:p>
      <w:pPr>
        <w:pStyle w:val="Heading2"/>
      </w:pPr>
      <w:r>
        <w:t xml:space="preserve">Where the store stands</w:t>
      </w:r>
    </w:p>
    <w:p>
      <w:pPr>
        <w:keepNext/>
        <w:spacing w:after="120" w:before="60"/>
        <w:jc w:val="center"/>
      </w:pPr>
      <w:r>
        <w:drawing>
          <wp:inline distT="0" distB="0" distL="0" distR="0">
            <wp:extent cx="69532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953250" cy="7048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Turnover Rate, Early Leaver (90-Day) Rate and Retention Rate at detection, each with the change versus the prior period.</w:t>
      </w:r>
    </w:p>
    <w:p>
      <w:pPr>
        <w:keepNext/>
        <w:spacing w:after="120" w:before="60"/>
        <w:jc w:val="center"/>
      </w:pPr>
      <w:r>
        <w:drawing>
          <wp:inline distT="0" distB="0" distL="0" distR="0">
            <wp:extent cx="695325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the flagged metric(s) have trended since the plan was opened, so you can see whether the situation is improving.</w:t>
      </w:r>
    </w:p>
    <w:p>
      <w:pPr>
        <w:keepNext/>
        <w:spacing w:after="120" w:before="60"/>
        <w:jc w:val="center"/>
      </w:pPr>
      <w:r>
        <w:drawing>
          <wp:inline distT="0" distB="0" distL="0" distR="0">
            <wp:extent cx="69532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953250" cy="244792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Turnover % and 90-Day Turnover % for every month the store has data, each with the change versus the previous month in percentage points.</w:t>
      </w:r>
    </w:p>
    <w:p>
      <w:pPr>
        <w:keepNext/>
        <w:spacing w:after="120" w:before="60"/>
        <w:jc w:val="center"/>
      </w:pPr>
      <w:r>
        <w:drawing>
          <wp:inline distT="0" distB="0" distL="0" distR="0">
            <wp:extent cx="6953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953250" cy="12382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recorded monthly snapshot as a table: Turnover %, Early-Leaver %, Retention %, signal count and the change in Turnover % versus the previous month.</w:t>
      </w:r>
    </w:p>
    <w:p>
      <w:pPr>
        <w:pStyle w:val="Heading2"/>
      </w:pPr>
      <w:r>
        <w:t xml:space="preserve">Ownership and follow-up</w:t>
      </w:r>
    </w:p>
    <w:p>
      <w:pPr>
        <w:keepNext/>
        <w:spacing w:after="120" w:before="60"/>
        <w:jc w:val="center"/>
      </w:pPr>
      <w:r>
        <w:drawing>
          <wp:inline distT="0" distB="0" distL="0" distR="0">
            <wp:extent cx="69532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responsible person, when the plan was created and its reporting quarter, the healthy streak (months without signals), whether it is chronic, and the plain-language explanation of exactly what was detected and why the store was flagged. Admins can assign the plan to a name and set the target resolution date; everyone else sees the same assignment read-only.</w:t>
      </w:r>
    </w:p>
    <w:p>
      <w:pPr>
        <w:keepNext/>
        <w:spacing w:after="120" w:before="60"/>
        <w:jc w:val="center"/>
      </w:pPr>
      <w:r>
        <w:drawing>
          <wp:inline distT="0" distB="0" distL="0" distR="0">
            <wp:extent cx="69532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953250" cy="3152775"/>
                    </a:xfrm>
                    <a:prstGeom prst="rect">
                      <a:avLst/>
                    </a:prstGeom>
                  </pic:spPr>
                </pic:pic>
              </a:graphicData>
            </a:graphic>
          </wp:inline>
        </w:drawing>
      </w:r>
    </w:p>
    <w:p>
      <w:pPr>
        <w:spacing w:after="70" w:line="270"/>
      </w:pPr>
      <w:r>
        <w:rPr>
          <w:rFonts w:ascii="Arial" w:cs="Arial" w:eastAsia="Arial" w:hAnsi="Arial"/>
          <w:color w:val="27251F"/>
          <w:sz w:val="21"/>
          <w:szCs w:val="21"/>
        </w:rPr>
        <w:t xml:space="preserve">Suggested actions for this store's specific issues, grouped by theme (for example Retention or Culture). They can be checked off as they are completed, and the progress is shown at the top.</w:t>
      </w:r>
    </w:p>
    <w:p>
      <w:pPr>
        <w:keepNext/>
        <w:spacing w:after="120" w:before="60"/>
        <w:jc w:val="center"/>
      </w:pPr>
      <w:r>
        <w:drawing>
          <wp:inline distT="0" distB="0" distL="0" distR="0">
            <wp:extent cx="69532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953250" cy="25431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detection signals fired in each period, so you can see whether the problem is persistent or recent.</w:t>
      </w:r>
    </w:p>
    <w:p>
      <w:pPr>
        <w:keepNext/>
        <w:spacing w:after="120" w:before="60"/>
        <w:jc w:val="center"/>
      </w:pPr>
      <w:r>
        <w:drawing>
          <wp:inline distT="0" distB="0" distL="0" distR="0">
            <wp:extent cx="695325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953250" cy="619125"/>
                    </a:xfrm>
                    <a:prstGeom prst="rect">
                      <a:avLst/>
                    </a:prstGeom>
                  </pic:spPr>
                </pic:pic>
              </a:graphicData>
            </a:graphic>
          </wp:inline>
        </w:drawing>
      </w:r>
    </w:p>
    <w:p>
      <w:pPr>
        <w:spacing w:after="70" w:line="270"/>
      </w:pPr>
      <w:r>
        <w:rPr>
          <w:rFonts w:ascii="Arial" w:cs="Arial" w:eastAsia="Arial" w:hAnsi="Arial"/>
          <w:color w:val="27251F"/>
          <w:sz w:val="21"/>
          <w:szCs w:val="21"/>
        </w:rPr>
        <w:t xml:space="preserve">A running log of follow-up notes on the plan: who wrote each one, when, and their role. Admins can also close a plan manually, with a required reason, once the underlying issue has been addressed.</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29907e18d6cb48c0ea8033e51340027af32023.png"/><Relationship Id="rId10" Type="http://schemas.openxmlformats.org/officeDocument/2006/relationships/image" Target="media/5b75158b0d52b4ef5e316d77c64a11377376ff63.png"/><Relationship Id="rId11" Type="http://schemas.openxmlformats.org/officeDocument/2006/relationships/image" Target="media/2a04c2455030e6e768f88da8a6ce99ac1167ba7b.png"/><Relationship Id="rId12" Type="http://schemas.openxmlformats.org/officeDocument/2006/relationships/image" Target="media/f2750956efe63b436cfb4eea5775af01f089367e.png"/><Relationship Id="rId13" Type="http://schemas.openxmlformats.org/officeDocument/2006/relationships/image" Target="media/b69d2e7262c7de31beb095e8f237c0ed40fe6aae.png"/><Relationship Id="rId14" Type="http://schemas.openxmlformats.org/officeDocument/2006/relationships/image" Target="media/81993f17b35c7166ddf622e9106316c64d5158ba.png"/><Relationship Id="rId15" Type="http://schemas.openxmlformats.org/officeDocument/2006/relationships/image" Target="media/906bfe22e4df400e57d8a6769c1a27aeb7f74860.png"/><Relationship Id="rId16" Type="http://schemas.openxmlformats.org/officeDocument/2006/relationships/image" Target="media/b5f123a37d25ef86219327f945b87ec38dbea0b0.png"/><Relationship Id="rId17" Type="http://schemas.openxmlformats.org/officeDocument/2006/relationships/image" Target="media/11067745908079857292da4d68ca721bc107f583.png"/><Relationship Id="rId18" Type="http://schemas.openxmlformats.org/officeDocument/2006/relationships/image" Target="media/03e23d3aaf014f029780630f0b902fa978054cbe.png"/><Relationship Id="rId19" Type="http://schemas.openxmlformats.org/officeDocument/2006/relationships/image" Target="media/b10c4f721165d239ef3dafeff861c412c3c038f9.png"/><Relationship Id="rId20" Type="http://schemas.openxmlformats.org/officeDocument/2006/relationships/image" Target="media/6d912bad58bc13b9b77a324293f2f0d4374b15ab.png"/><Relationship Id="rId21" Type="http://schemas.openxmlformats.org/officeDocument/2006/relationships/image" Target="media/5e317a3c1b226c98f6a614d415818313fbc50b43.png"/><Relationship Id="rId22" Type="http://schemas.openxmlformats.org/officeDocument/2006/relationships/image" Target="media/cc931a19953fd4a175ef5e4a0d404f88460cea2d.png"/><Relationship Id="rId23" Type="http://schemas.openxmlformats.org/officeDocument/2006/relationships/image" Target="media/29ed552b51c7a4d7c2a13ca49661798d12b19a49.png"/><Relationship Id="rId24" Type="http://schemas.openxmlformats.org/officeDocument/2006/relationships/image" Target="media/672c2c4bef35ae27f57d51430635ab1ea11fe9e4.png"/><Relationship Id="rId25" Type="http://schemas.openxmlformats.org/officeDocument/2006/relationships/image" Target="media/5908e61846a1ecd002e0521c2d76b97040f9e013.png"/><Relationship Id="rId26" Type="http://schemas.openxmlformats.org/officeDocument/2006/relationships/image" Target="media/1b0896847ed61377d1a2aef37a9c3505b8de4db9.png"/><Relationship Id="rId27" Type="http://schemas.openxmlformats.org/officeDocument/2006/relationships/image" Target="media/a9533a3066a5dbc57e211088bc406646cc8b1328.png"/><Relationship Id="rId28" Type="http://schemas.openxmlformats.org/officeDocument/2006/relationships/image" Target="media/d11a49c84925cc782a4b5d7a4ec547f462cc1aef.png"/><Relationship Id="rId29" Type="http://schemas.openxmlformats.org/officeDocument/2006/relationships/image" Target="media/883d08fd2b500c3bbddffb27d9cef87229c51e6b.png"/><Relationship Id="rId30" Type="http://schemas.openxmlformats.org/officeDocument/2006/relationships/image" Target="media/41c9a62c273cc4a716a59adc1a6e7dfedf80cd80.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Center</dc:title>
  <dc:creator>McDonald's Egypt</dc:creator>
  <cp:lastModifiedBy>Un-named</cp:lastModifiedBy>
  <cp:revision>1</cp:revision>
  <dcterms:created xsi:type="dcterms:W3CDTF">2026-10-06T19:57:37.454Z</dcterms:created>
  <dcterms:modified xsi:type="dcterms:W3CDTF">2026-10-06T19:57:37.454Z</dcterms:modified>
</cp:coreProperties>
</file>

<file path=docProps/custom.xml><?xml version="1.0" encoding="utf-8"?>
<Properties xmlns="http://schemas.openxmlformats.org/officeDocument/2006/custom-properties" xmlns:vt="http://schemas.openxmlformats.org/officeDocument/2006/docPropsVTypes"/>
</file>