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70C9A" w14:textId="77777777" w:rsidR="00497849" w:rsidRDefault="00497849" w:rsidP="00497849">
      <w:pPr>
        <w:pStyle w:val="Heading2"/>
        <w:keepNext w:val="0"/>
        <w:keepLines w:val="0"/>
        <w:jc w:val="both"/>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Dashboard Overview</w:t>
      </w:r>
    </w:p>
    <w:p w14:paraId="2F7B5267" w14:textId="77777777" w:rsidR="00497849" w:rsidRDefault="00497849" w:rsidP="00497849">
      <w:pPr>
        <w:spacing w:before="240" w:after="240"/>
        <w:jc w:val="both"/>
        <w:rPr>
          <w:rFonts w:ascii="Times New Roman" w:eastAsia="Times New Roman" w:hAnsi="Times New Roman" w:cs="Times New Roman"/>
        </w:rPr>
      </w:pPr>
      <w:r>
        <w:rPr>
          <w:rFonts w:ascii="Times New Roman" w:eastAsia="Times New Roman" w:hAnsi="Times New Roman" w:cs="Times New Roman"/>
        </w:rPr>
        <w:t>The dashboard provides a comprehensive analysis of hospital patient data, focusing on patient demographics, medical conditions, billing performance, insurance coverage, hospital workload, admission types, and admission trends over time. The dashboard monitors approximately 40.2K patients with a total billing amount of 1.42bn and an average billing amount of 25.54K. The visuals help evaluate healthcare delivery, operational efficiency, and financial performance across hospitals and patient groups.</w:t>
      </w:r>
    </w:p>
    <w:p w14:paraId="291506D2" w14:textId="77777777" w:rsidR="00497849" w:rsidRDefault="00497849" w:rsidP="00497849">
      <w:pPr>
        <w:pStyle w:val="Heading1"/>
        <w:keepNext w:val="0"/>
        <w:keepLines w:val="0"/>
        <w:spacing w:before="480"/>
        <w:jc w:val="both"/>
        <w:rPr>
          <w:rFonts w:ascii="Times New Roman" w:eastAsia="Times New Roman" w:hAnsi="Times New Roman" w:cs="Times New Roman"/>
          <w:b/>
          <w:bCs/>
          <w:sz w:val="46"/>
          <w:szCs w:val="46"/>
        </w:rPr>
      </w:pPr>
      <w:bookmarkStart w:id="0" w:name="_xfnuvby82x0e" w:colFirst="0" w:colLast="0"/>
      <w:bookmarkEnd w:id="0"/>
      <w:r>
        <w:rPr>
          <w:rFonts w:ascii="Times New Roman" w:eastAsia="Times New Roman" w:hAnsi="Times New Roman" w:cs="Times New Roman"/>
          <w:b/>
          <w:bCs/>
          <w:sz w:val="46"/>
          <w:szCs w:val="46"/>
        </w:rPr>
        <w:t>Patient Care Optimization</w:t>
      </w:r>
    </w:p>
    <w:p w14:paraId="26B3721E" w14:textId="77777777" w:rsidR="00497849" w:rsidRDefault="00497849" w:rsidP="00497849">
      <w:pPr>
        <w:pStyle w:val="Heading3"/>
        <w:keepNext w:val="0"/>
        <w:keepLines w:val="0"/>
        <w:spacing w:before="280"/>
        <w:jc w:val="both"/>
        <w:rPr>
          <w:rFonts w:ascii="Times New Roman" w:eastAsia="Times New Roman" w:hAnsi="Times New Roman" w:cs="Times New Roman"/>
          <w:b/>
          <w:bCs/>
          <w:color w:val="000000"/>
          <w:sz w:val="26"/>
          <w:szCs w:val="26"/>
        </w:rPr>
      </w:pPr>
      <w:bookmarkStart w:id="1" w:name="_a0uq8dtwbktu" w:colFirst="0" w:colLast="0"/>
      <w:bookmarkEnd w:id="1"/>
      <w:r>
        <w:rPr>
          <w:rFonts w:ascii="Times New Roman" w:eastAsia="Times New Roman" w:hAnsi="Times New Roman" w:cs="Times New Roman"/>
          <w:b/>
          <w:bCs/>
          <w:color w:val="000000"/>
          <w:sz w:val="26"/>
          <w:szCs w:val="26"/>
        </w:rPr>
        <w:t>Insights</w:t>
      </w:r>
    </w:p>
    <w:p w14:paraId="4D2DBBD8" w14:textId="77777777" w:rsidR="00497849" w:rsidRDefault="00497849" w:rsidP="00497849">
      <w:pPr>
        <w:numPr>
          <w:ilvl w:val="0"/>
          <w:numId w:val="3"/>
        </w:numPr>
        <w:spacing w:before="240"/>
        <w:jc w:val="both"/>
        <w:rPr>
          <w:rFonts w:ascii="Times New Roman" w:eastAsia="Times New Roman" w:hAnsi="Times New Roman" w:cs="Times New Roman"/>
        </w:rPr>
      </w:pPr>
      <w:r>
        <w:rPr>
          <w:rFonts w:ascii="Times New Roman" w:eastAsia="Times New Roman" w:hAnsi="Times New Roman" w:cs="Times New Roman"/>
        </w:rPr>
        <w:t>The most common medical conditions are Arthritis, Diabetes, Hypertension, Obesity, Cancer, and Asthma, with Arthritis and Diabetes recording the highest patient counts at approximately 9.3K cases each. This indicates that chronic diseases are the dominant healthcare burden within the hospitals.</w:t>
      </w:r>
    </w:p>
    <w:p w14:paraId="6E8C2A3A" w14:textId="77777777" w:rsidR="00497849" w:rsidRDefault="00497849" w:rsidP="00497849">
      <w:pPr>
        <w:numPr>
          <w:ilvl w:val="0"/>
          <w:numId w:val="3"/>
        </w:numPr>
        <w:jc w:val="both"/>
        <w:rPr>
          <w:rFonts w:ascii="Times New Roman" w:eastAsia="Times New Roman" w:hAnsi="Times New Roman" w:cs="Times New Roman"/>
        </w:rPr>
      </w:pPr>
      <w:r>
        <w:rPr>
          <w:rFonts w:ascii="Times New Roman" w:eastAsia="Times New Roman" w:hAnsi="Times New Roman" w:cs="Times New Roman"/>
        </w:rPr>
        <w:t>The “Medical Conditions by Age Group” chart shows that patients aged 56–65 and 65+ account for the highest number of medical condition cases, indicating that older adults are the most vulnerable patient group.</w:t>
      </w:r>
    </w:p>
    <w:p w14:paraId="123CEE55" w14:textId="77777777" w:rsidR="00497849" w:rsidRDefault="00497849" w:rsidP="00497849">
      <w:pPr>
        <w:numPr>
          <w:ilvl w:val="0"/>
          <w:numId w:val="3"/>
        </w:numPr>
        <w:spacing w:after="240"/>
        <w:jc w:val="both"/>
        <w:rPr>
          <w:rFonts w:ascii="Times New Roman" w:eastAsia="Times New Roman" w:hAnsi="Times New Roman" w:cs="Times New Roman"/>
        </w:rPr>
      </w:pPr>
      <w:r>
        <w:rPr>
          <w:rFonts w:ascii="Times New Roman" w:eastAsia="Times New Roman" w:hAnsi="Times New Roman" w:cs="Times New Roman"/>
        </w:rPr>
        <w:t>The “Medical Condition vs Test Result” visual shows a relatively balanced distribution between Normal, Abnormal, and Inconclusive test results across major conditions. However, the presence of a significant percentage of abnormal and inconclusive outcomes suggests ongoing challenges in disease severity and diagnostic certainty.</w:t>
      </w:r>
    </w:p>
    <w:p w14:paraId="468FDEB6" w14:textId="77777777" w:rsidR="00497849" w:rsidRDefault="00497849" w:rsidP="00497849">
      <w:pPr>
        <w:pStyle w:val="Heading3"/>
        <w:keepNext w:val="0"/>
        <w:keepLines w:val="0"/>
        <w:spacing w:before="280"/>
        <w:jc w:val="both"/>
        <w:rPr>
          <w:rFonts w:ascii="Times New Roman" w:eastAsia="Times New Roman" w:hAnsi="Times New Roman" w:cs="Times New Roman"/>
          <w:b/>
          <w:bCs/>
          <w:color w:val="000000"/>
          <w:sz w:val="26"/>
          <w:szCs w:val="26"/>
        </w:rPr>
      </w:pPr>
      <w:bookmarkStart w:id="2" w:name="_th3b7bo46u4j" w:colFirst="0" w:colLast="0"/>
      <w:bookmarkEnd w:id="2"/>
      <w:r>
        <w:rPr>
          <w:rFonts w:ascii="Times New Roman" w:eastAsia="Times New Roman" w:hAnsi="Times New Roman" w:cs="Times New Roman"/>
          <w:b/>
          <w:bCs/>
          <w:color w:val="000000"/>
          <w:sz w:val="26"/>
          <w:szCs w:val="26"/>
        </w:rPr>
        <w:t>Recommendations</w:t>
      </w:r>
    </w:p>
    <w:p w14:paraId="185FCFED" w14:textId="77777777" w:rsidR="00497849" w:rsidRDefault="00497849" w:rsidP="00497849">
      <w:pPr>
        <w:numPr>
          <w:ilvl w:val="0"/>
          <w:numId w:val="4"/>
        </w:numPr>
        <w:spacing w:before="240"/>
        <w:jc w:val="both"/>
        <w:rPr>
          <w:rFonts w:ascii="Times New Roman" w:eastAsia="Times New Roman" w:hAnsi="Times New Roman" w:cs="Times New Roman"/>
        </w:rPr>
      </w:pPr>
      <w:r>
        <w:rPr>
          <w:rFonts w:ascii="Times New Roman" w:eastAsia="Times New Roman" w:hAnsi="Times New Roman" w:cs="Times New Roman"/>
        </w:rPr>
        <w:t>Hospitals should strengthen chronic disease management programs for Diabetes, Hypertension, Arthritis, and Obesity through regular monitoring, specialist clinics, and long-term treatment plans.</w:t>
      </w:r>
    </w:p>
    <w:p w14:paraId="2EB8687A" w14:textId="77777777" w:rsidR="00497849" w:rsidRDefault="00497849" w:rsidP="00497849">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Preventive screening and early intervention programs should target older adults, particularly patients aged 56 years and above, to reduce disease complications and improve long-term outcomes.</w:t>
      </w:r>
    </w:p>
    <w:p w14:paraId="738CDEB1" w14:textId="77777777" w:rsidR="00497849" w:rsidRDefault="00497849" w:rsidP="00497849">
      <w:pPr>
        <w:numPr>
          <w:ilvl w:val="0"/>
          <w:numId w:val="4"/>
        </w:numPr>
        <w:spacing w:after="240"/>
        <w:jc w:val="both"/>
        <w:rPr>
          <w:rFonts w:ascii="Times New Roman" w:eastAsia="Times New Roman" w:hAnsi="Times New Roman" w:cs="Times New Roman"/>
        </w:rPr>
      </w:pPr>
      <w:r>
        <w:rPr>
          <w:rFonts w:ascii="Times New Roman" w:eastAsia="Times New Roman" w:hAnsi="Times New Roman" w:cs="Times New Roman"/>
        </w:rPr>
        <w:t>Healthcare providers should invest in improved diagnostic systems, laboratory technologies, and staff training to reduce inconclusive test results and improve treatment accuracy</w:t>
      </w:r>
    </w:p>
    <w:p w14:paraId="7E482C5A" w14:textId="77777777" w:rsidR="00497849" w:rsidRDefault="00497849" w:rsidP="00497849">
      <w:pPr>
        <w:spacing w:before="240" w:after="240"/>
        <w:ind w:left="720"/>
        <w:jc w:val="both"/>
        <w:rPr>
          <w:rFonts w:ascii="Times New Roman" w:eastAsia="Times New Roman" w:hAnsi="Times New Roman" w:cs="Times New Roman"/>
        </w:rPr>
      </w:pPr>
    </w:p>
    <w:p w14:paraId="31DA62DF" w14:textId="77777777" w:rsidR="00497849" w:rsidRDefault="00497849" w:rsidP="00497849">
      <w:pPr>
        <w:spacing w:before="240" w:after="240"/>
        <w:ind w:left="720"/>
        <w:jc w:val="both"/>
        <w:rPr>
          <w:rFonts w:ascii="Times New Roman" w:eastAsia="Times New Roman" w:hAnsi="Times New Roman" w:cs="Times New Roman"/>
        </w:rPr>
      </w:pPr>
    </w:p>
    <w:p w14:paraId="220FC753" w14:textId="77777777" w:rsidR="00497849" w:rsidRDefault="00497849" w:rsidP="00497849">
      <w:pPr>
        <w:spacing w:before="240" w:after="240"/>
        <w:ind w:left="720"/>
        <w:jc w:val="both"/>
        <w:rPr>
          <w:rFonts w:ascii="Times New Roman" w:eastAsia="Times New Roman" w:hAnsi="Times New Roman" w:cs="Times New Roman"/>
        </w:rPr>
      </w:pPr>
    </w:p>
    <w:p w14:paraId="525E8B7A" w14:textId="77777777" w:rsidR="00497849" w:rsidRDefault="00497849" w:rsidP="00497849">
      <w:pPr>
        <w:spacing w:before="240" w:after="240"/>
        <w:ind w:left="720"/>
        <w:jc w:val="both"/>
        <w:rPr>
          <w:rFonts w:ascii="Times New Roman" w:eastAsia="Times New Roman" w:hAnsi="Times New Roman" w:cs="Times New Roman"/>
        </w:rPr>
      </w:pPr>
    </w:p>
    <w:p w14:paraId="1019965F" w14:textId="77777777" w:rsidR="00497849" w:rsidRDefault="00497849" w:rsidP="00497849">
      <w:pPr>
        <w:pStyle w:val="Heading1"/>
        <w:keepNext w:val="0"/>
        <w:keepLines w:val="0"/>
        <w:spacing w:before="480"/>
        <w:jc w:val="both"/>
        <w:rPr>
          <w:rFonts w:ascii="Times New Roman" w:eastAsia="Times New Roman" w:hAnsi="Times New Roman" w:cs="Times New Roman"/>
          <w:b/>
          <w:bCs/>
          <w:sz w:val="46"/>
          <w:szCs w:val="46"/>
        </w:rPr>
      </w:pPr>
      <w:bookmarkStart w:id="3" w:name="_1r2uj874sbc7" w:colFirst="0" w:colLast="0"/>
      <w:bookmarkEnd w:id="3"/>
      <w:r>
        <w:rPr>
          <w:rFonts w:ascii="Times New Roman" w:eastAsia="Times New Roman" w:hAnsi="Times New Roman" w:cs="Times New Roman"/>
          <w:b/>
          <w:bCs/>
          <w:sz w:val="46"/>
          <w:szCs w:val="46"/>
        </w:rPr>
        <w:lastRenderedPageBreak/>
        <w:t>Hospital Resource Allocation</w:t>
      </w:r>
    </w:p>
    <w:p w14:paraId="40AA8631" w14:textId="77777777" w:rsidR="00497849" w:rsidRDefault="00497849" w:rsidP="00497849">
      <w:pPr>
        <w:pStyle w:val="Heading3"/>
        <w:keepNext w:val="0"/>
        <w:keepLines w:val="0"/>
        <w:spacing w:before="280"/>
        <w:jc w:val="both"/>
        <w:rPr>
          <w:rFonts w:ascii="Times New Roman" w:eastAsia="Times New Roman" w:hAnsi="Times New Roman" w:cs="Times New Roman"/>
          <w:b/>
          <w:bCs/>
          <w:color w:val="000000"/>
          <w:sz w:val="26"/>
          <w:szCs w:val="26"/>
        </w:rPr>
      </w:pPr>
      <w:bookmarkStart w:id="4" w:name="_tlrindj6vcfq" w:colFirst="0" w:colLast="0"/>
      <w:bookmarkEnd w:id="4"/>
      <w:r>
        <w:rPr>
          <w:rFonts w:ascii="Times New Roman" w:eastAsia="Times New Roman" w:hAnsi="Times New Roman" w:cs="Times New Roman"/>
          <w:b/>
          <w:bCs/>
          <w:color w:val="000000"/>
          <w:sz w:val="26"/>
          <w:szCs w:val="26"/>
        </w:rPr>
        <w:t>Insights</w:t>
      </w:r>
    </w:p>
    <w:p w14:paraId="68EACACF" w14:textId="77777777" w:rsidR="00497849" w:rsidRDefault="00497849" w:rsidP="00497849">
      <w:pPr>
        <w:numPr>
          <w:ilvl w:val="0"/>
          <w:numId w:val="8"/>
        </w:numPr>
        <w:spacing w:before="240"/>
        <w:jc w:val="both"/>
        <w:rPr>
          <w:rFonts w:ascii="Times New Roman" w:eastAsia="Times New Roman" w:hAnsi="Times New Roman" w:cs="Times New Roman"/>
        </w:rPr>
      </w:pPr>
      <w:r>
        <w:rPr>
          <w:rFonts w:ascii="Times New Roman" w:eastAsia="Times New Roman" w:hAnsi="Times New Roman" w:cs="Times New Roman"/>
        </w:rPr>
        <w:t>The “Hospital Performance by Volume” visual shows that some hospitals and doctors manage significantly higher patient volumes than others, indicating uneven workload distribution across healthcare facilities.</w:t>
      </w:r>
    </w:p>
    <w:p w14:paraId="12734C35" w14:textId="77777777" w:rsidR="00497849" w:rsidRDefault="00497849" w:rsidP="00497849">
      <w:pPr>
        <w:numPr>
          <w:ilvl w:val="0"/>
          <w:numId w:val="8"/>
        </w:numPr>
        <w:jc w:val="both"/>
        <w:rPr>
          <w:rFonts w:ascii="Times New Roman" w:eastAsia="Times New Roman" w:hAnsi="Times New Roman" w:cs="Times New Roman"/>
        </w:rPr>
      </w:pPr>
      <w:r>
        <w:rPr>
          <w:rFonts w:ascii="Times New Roman" w:eastAsia="Times New Roman" w:hAnsi="Times New Roman" w:cs="Times New Roman"/>
        </w:rPr>
        <w:t>The “Hospital Billing” chart reveals that certain hospitals generate substantially higher billing amounts, suggesting either higher patient traffic, more complex treatments, or higher operational costs.</w:t>
      </w:r>
    </w:p>
    <w:p w14:paraId="6C3F3B08" w14:textId="77777777" w:rsidR="00497849" w:rsidRDefault="00497849" w:rsidP="00497849">
      <w:pPr>
        <w:numPr>
          <w:ilvl w:val="0"/>
          <w:numId w:val="8"/>
        </w:numPr>
        <w:spacing w:after="240"/>
        <w:jc w:val="both"/>
        <w:rPr>
          <w:rFonts w:ascii="Times New Roman" w:eastAsia="Times New Roman" w:hAnsi="Times New Roman" w:cs="Times New Roman"/>
        </w:rPr>
      </w:pPr>
      <w:r>
        <w:rPr>
          <w:rFonts w:ascii="Times New Roman" w:eastAsia="Times New Roman" w:hAnsi="Times New Roman" w:cs="Times New Roman"/>
        </w:rPr>
        <w:t>Admission volumes remain consistently high across the years 2020 to 2023, suggesting sustained pressure on hospital resources and staffing capacity.</w:t>
      </w:r>
    </w:p>
    <w:p w14:paraId="50C8A16F" w14:textId="77777777" w:rsidR="00497849" w:rsidRDefault="00497849" w:rsidP="00497849">
      <w:pPr>
        <w:pStyle w:val="Heading3"/>
        <w:keepNext w:val="0"/>
        <w:keepLines w:val="0"/>
        <w:spacing w:before="280"/>
        <w:jc w:val="both"/>
        <w:rPr>
          <w:rFonts w:ascii="Times New Roman" w:eastAsia="Times New Roman" w:hAnsi="Times New Roman" w:cs="Times New Roman"/>
          <w:b/>
          <w:bCs/>
          <w:color w:val="000000"/>
          <w:sz w:val="26"/>
          <w:szCs w:val="26"/>
        </w:rPr>
      </w:pPr>
      <w:bookmarkStart w:id="5" w:name="_6r392t8j3syv" w:colFirst="0" w:colLast="0"/>
      <w:bookmarkEnd w:id="5"/>
      <w:r>
        <w:rPr>
          <w:rFonts w:ascii="Times New Roman" w:eastAsia="Times New Roman" w:hAnsi="Times New Roman" w:cs="Times New Roman"/>
          <w:b/>
          <w:bCs/>
          <w:color w:val="000000"/>
          <w:sz w:val="26"/>
          <w:szCs w:val="26"/>
        </w:rPr>
        <w:t>Recommendations</w:t>
      </w:r>
    </w:p>
    <w:p w14:paraId="3BE5FF28" w14:textId="77777777" w:rsidR="00497849" w:rsidRDefault="00497849" w:rsidP="00497849">
      <w:pPr>
        <w:numPr>
          <w:ilvl w:val="0"/>
          <w:numId w:val="1"/>
        </w:numPr>
        <w:spacing w:before="240"/>
        <w:jc w:val="both"/>
        <w:rPr>
          <w:rFonts w:ascii="Times New Roman" w:eastAsia="Times New Roman" w:hAnsi="Times New Roman" w:cs="Times New Roman"/>
        </w:rPr>
      </w:pPr>
      <w:r>
        <w:rPr>
          <w:rFonts w:ascii="Times New Roman" w:eastAsia="Times New Roman" w:hAnsi="Times New Roman" w:cs="Times New Roman"/>
        </w:rPr>
        <w:t>Hospital management should allocate additional healthcare personnel, beds, and medical equipment to high-volume hospitals and departments to reduce overcrowding and service delays.</w:t>
      </w:r>
    </w:p>
    <w:p w14:paraId="017A8796" w14:textId="77777777" w:rsidR="00497849" w:rsidRDefault="00497849" w:rsidP="00497849">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Patient referral systems should be strengthened to distribute patient admissions more evenly across healthcare facilities and reduce operational pressure on overloaded hospitals.</w:t>
      </w:r>
    </w:p>
    <w:p w14:paraId="54B0481A" w14:textId="77777777" w:rsidR="00497849" w:rsidRDefault="00497849" w:rsidP="00497849">
      <w:pPr>
        <w:numPr>
          <w:ilvl w:val="0"/>
          <w:numId w:val="1"/>
        </w:numPr>
        <w:spacing w:after="240"/>
        <w:jc w:val="both"/>
        <w:rPr>
          <w:rFonts w:ascii="Times New Roman" w:eastAsia="Times New Roman" w:hAnsi="Times New Roman" w:cs="Times New Roman"/>
        </w:rPr>
      </w:pPr>
      <w:r>
        <w:rPr>
          <w:rFonts w:ascii="Times New Roman" w:eastAsia="Times New Roman" w:hAnsi="Times New Roman" w:cs="Times New Roman"/>
        </w:rPr>
        <w:t>Workforce planning should be based on historical admission trends to ensure adequate staffing levels during peak patient periods.</w:t>
      </w:r>
    </w:p>
    <w:p w14:paraId="09CAF9A6" w14:textId="77777777" w:rsidR="00497849" w:rsidRDefault="00497849" w:rsidP="00497849">
      <w:pPr>
        <w:pStyle w:val="Heading1"/>
        <w:keepNext w:val="0"/>
        <w:keepLines w:val="0"/>
        <w:spacing w:before="480"/>
        <w:jc w:val="both"/>
        <w:rPr>
          <w:rFonts w:ascii="Times New Roman" w:eastAsia="Times New Roman" w:hAnsi="Times New Roman" w:cs="Times New Roman"/>
          <w:b/>
          <w:bCs/>
          <w:sz w:val="46"/>
          <w:szCs w:val="46"/>
        </w:rPr>
      </w:pPr>
      <w:bookmarkStart w:id="6" w:name="_3fi5hatmg3pu" w:colFirst="0" w:colLast="0"/>
      <w:bookmarkEnd w:id="6"/>
      <w:r>
        <w:rPr>
          <w:rFonts w:ascii="Times New Roman" w:eastAsia="Times New Roman" w:hAnsi="Times New Roman" w:cs="Times New Roman"/>
          <w:b/>
          <w:bCs/>
          <w:sz w:val="46"/>
          <w:szCs w:val="46"/>
        </w:rPr>
        <w:t>Insurance &amp; Billing Strategy</w:t>
      </w:r>
    </w:p>
    <w:p w14:paraId="4AD7F8F8" w14:textId="77777777" w:rsidR="00497849" w:rsidRDefault="00497849" w:rsidP="00497849">
      <w:pPr>
        <w:pStyle w:val="Heading3"/>
        <w:keepNext w:val="0"/>
        <w:keepLines w:val="0"/>
        <w:spacing w:before="280"/>
        <w:jc w:val="both"/>
        <w:rPr>
          <w:rFonts w:ascii="Times New Roman" w:eastAsia="Times New Roman" w:hAnsi="Times New Roman" w:cs="Times New Roman"/>
          <w:b/>
          <w:bCs/>
          <w:color w:val="000000"/>
          <w:sz w:val="26"/>
          <w:szCs w:val="26"/>
        </w:rPr>
      </w:pPr>
      <w:bookmarkStart w:id="7" w:name="_tdojfz5u1ux3" w:colFirst="0" w:colLast="0"/>
      <w:bookmarkEnd w:id="7"/>
      <w:r>
        <w:rPr>
          <w:rFonts w:ascii="Times New Roman" w:eastAsia="Times New Roman" w:hAnsi="Times New Roman" w:cs="Times New Roman"/>
          <w:b/>
          <w:bCs/>
          <w:color w:val="000000"/>
          <w:sz w:val="26"/>
          <w:szCs w:val="26"/>
        </w:rPr>
        <w:t>Insights</w:t>
      </w:r>
    </w:p>
    <w:p w14:paraId="5A772D9D" w14:textId="77777777" w:rsidR="00497849" w:rsidRDefault="00497849" w:rsidP="00497849">
      <w:pPr>
        <w:numPr>
          <w:ilvl w:val="0"/>
          <w:numId w:val="6"/>
        </w:numPr>
        <w:spacing w:before="240"/>
        <w:jc w:val="both"/>
        <w:rPr>
          <w:rFonts w:ascii="Times New Roman" w:eastAsia="Times New Roman" w:hAnsi="Times New Roman" w:cs="Times New Roman"/>
        </w:rPr>
      </w:pPr>
      <w:r>
        <w:rPr>
          <w:rFonts w:ascii="Times New Roman" w:eastAsia="Times New Roman" w:hAnsi="Times New Roman" w:cs="Times New Roman"/>
        </w:rPr>
        <w:t>Insurance providers such as Cigna, Medicare, Blue Cross, UnitedHealthcare, and Aetna each contribute a relatively similar patient share, ranging between approximately 9.2K and 9.5K patients.</w:t>
      </w:r>
    </w:p>
    <w:p w14:paraId="291DD2FA" w14:textId="77777777" w:rsidR="00497849" w:rsidRDefault="00497849" w:rsidP="00497849">
      <w:pPr>
        <w:numPr>
          <w:ilvl w:val="0"/>
          <w:numId w:val="6"/>
        </w:numPr>
        <w:jc w:val="both"/>
        <w:rPr>
          <w:rFonts w:ascii="Times New Roman" w:eastAsia="Times New Roman" w:hAnsi="Times New Roman" w:cs="Times New Roman"/>
        </w:rPr>
      </w:pPr>
      <w:r>
        <w:rPr>
          <w:rFonts w:ascii="Times New Roman" w:eastAsia="Times New Roman" w:hAnsi="Times New Roman" w:cs="Times New Roman"/>
        </w:rPr>
        <w:t>The “Billing Amount vs Admission Type” chart shows that billing amounts are relatively similar across Elective, Urgent, and Emergency admissions, although Elective admissions appear to generate slightly higher billing values.</w:t>
      </w:r>
    </w:p>
    <w:p w14:paraId="78338CB8" w14:textId="77777777" w:rsidR="00497849" w:rsidRDefault="00497849" w:rsidP="00497849">
      <w:pPr>
        <w:numPr>
          <w:ilvl w:val="0"/>
          <w:numId w:val="6"/>
        </w:numPr>
        <w:spacing w:after="240"/>
        <w:jc w:val="both"/>
        <w:rPr>
          <w:rFonts w:ascii="Times New Roman" w:eastAsia="Times New Roman" w:hAnsi="Times New Roman" w:cs="Times New Roman"/>
        </w:rPr>
      </w:pPr>
      <w:r>
        <w:rPr>
          <w:rFonts w:ascii="Times New Roman" w:eastAsia="Times New Roman" w:hAnsi="Times New Roman" w:cs="Times New Roman"/>
        </w:rPr>
        <w:t>Hospitals with the highest patient volumes also appear to generate the highest billing amounts, indicating a direct relationship between patient traffic and revenue generation.</w:t>
      </w:r>
    </w:p>
    <w:p w14:paraId="6CAA6F1E" w14:textId="77777777" w:rsidR="00497849" w:rsidRDefault="00497849" w:rsidP="00497849">
      <w:pPr>
        <w:pStyle w:val="Heading3"/>
        <w:keepNext w:val="0"/>
        <w:keepLines w:val="0"/>
        <w:spacing w:before="280"/>
        <w:jc w:val="both"/>
        <w:rPr>
          <w:rFonts w:ascii="Times New Roman" w:eastAsia="Times New Roman" w:hAnsi="Times New Roman" w:cs="Times New Roman"/>
          <w:b/>
          <w:bCs/>
          <w:color w:val="000000"/>
          <w:sz w:val="26"/>
          <w:szCs w:val="26"/>
        </w:rPr>
      </w:pPr>
      <w:bookmarkStart w:id="8" w:name="_s7z7kqfai99e" w:colFirst="0" w:colLast="0"/>
      <w:bookmarkEnd w:id="8"/>
      <w:r>
        <w:rPr>
          <w:rFonts w:ascii="Times New Roman" w:eastAsia="Times New Roman" w:hAnsi="Times New Roman" w:cs="Times New Roman"/>
          <w:b/>
          <w:bCs/>
          <w:color w:val="000000"/>
          <w:sz w:val="26"/>
          <w:szCs w:val="26"/>
        </w:rPr>
        <w:t>Recommendations</w:t>
      </w:r>
    </w:p>
    <w:p w14:paraId="6175D0E6" w14:textId="77777777" w:rsidR="00497849" w:rsidRDefault="00497849" w:rsidP="00497849">
      <w:pPr>
        <w:numPr>
          <w:ilvl w:val="0"/>
          <w:numId w:val="9"/>
        </w:numPr>
        <w:spacing w:before="240"/>
        <w:jc w:val="both"/>
        <w:rPr>
          <w:rFonts w:ascii="Times New Roman" w:eastAsia="Times New Roman" w:hAnsi="Times New Roman" w:cs="Times New Roman"/>
        </w:rPr>
      </w:pPr>
      <w:r>
        <w:rPr>
          <w:rFonts w:ascii="Times New Roman" w:eastAsia="Times New Roman" w:hAnsi="Times New Roman" w:cs="Times New Roman"/>
        </w:rPr>
        <w:t>Hospitals should strengthen strategic partnerships with major insurance providers due to their significant contribution to patient coverage and hospital revenue.</w:t>
      </w:r>
    </w:p>
    <w:p w14:paraId="7FDC0342" w14:textId="77777777" w:rsidR="00497849" w:rsidRDefault="00497849" w:rsidP="00497849">
      <w:pPr>
        <w:numPr>
          <w:ilvl w:val="0"/>
          <w:numId w:val="9"/>
        </w:numPr>
        <w:jc w:val="both"/>
        <w:rPr>
          <w:rFonts w:ascii="Times New Roman" w:eastAsia="Times New Roman" w:hAnsi="Times New Roman" w:cs="Times New Roman"/>
        </w:rPr>
      </w:pPr>
      <w:r>
        <w:rPr>
          <w:rFonts w:ascii="Times New Roman" w:eastAsia="Times New Roman" w:hAnsi="Times New Roman" w:cs="Times New Roman"/>
        </w:rPr>
        <w:t>Billing monitoring systems should be improved to identify cost variations across admission types and hospitals, enabling better financial planning and cost management.</w:t>
      </w:r>
    </w:p>
    <w:p w14:paraId="3675F6E9" w14:textId="77777777" w:rsidR="00497849" w:rsidRDefault="00497849" w:rsidP="00497849">
      <w:pPr>
        <w:numPr>
          <w:ilvl w:val="0"/>
          <w:numId w:val="9"/>
        </w:numPr>
        <w:spacing w:after="240"/>
        <w:jc w:val="both"/>
        <w:rPr>
          <w:rFonts w:ascii="Times New Roman" w:eastAsia="Times New Roman" w:hAnsi="Times New Roman" w:cs="Times New Roman"/>
        </w:rPr>
      </w:pPr>
      <w:r>
        <w:rPr>
          <w:rFonts w:ascii="Times New Roman" w:eastAsia="Times New Roman" w:hAnsi="Times New Roman" w:cs="Times New Roman"/>
        </w:rPr>
        <w:lastRenderedPageBreak/>
        <w:t>Healthcare administrators should implement cost-control strategies for emergency and urgent care services to reduce financial strain on both hospitals and insurance providers.</w:t>
      </w:r>
    </w:p>
    <w:p w14:paraId="668E0CE7" w14:textId="77777777" w:rsidR="00497849" w:rsidRDefault="00497849" w:rsidP="00497849">
      <w:pPr>
        <w:spacing w:before="240" w:after="240"/>
        <w:jc w:val="both"/>
        <w:rPr>
          <w:rFonts w:ascii="Times New Roman" w:eastAsia="Times New Roman" w:hAnsi="Times New Roman" w:cs="Times New Roman"/>
          <w:b/>
          <w:bCs/>
          <w:sz w:val="46"/>
          <w:szCs w:val="46"/>
        </w:rPr>
      </w:pPr>
      <w:r>
        <w:rPr>
          <w:rFonts w:ascii="Times New Roman" w:eastAsia="Times New Roman" w:hAnsi="Times New Roman" w:cs="Times New Roman"/>
          <w:b/>
          <w:bCs/>
          <w:sz w:val="46"/>
          <w:szCs w:val="46"/>
        </w:rPr>
        <w:t>Preventive Health Focus</w:t>
      </w:r>
    </w:p>
    <w:p w14:paraId="7291E5F6" w14:textId="77777777" w:rsidR="00497849" w:rsidRDefault="00497849" w:rsidP="00497849">
      <w:pPr>
        <w:pStyle w:val="Heading3"/>
        <w:keepNext w:val="0"/>
        <w:keepLines w:val="0"/>
        <w:spacing w:before="280"/>
        <w:jc w:val="both"/>
        <w:rPr>
          <w:rFonts w:ascii="Times New Roman" w:eastAsia="Times New Roman" w:hAnsi="Times New Roman" w:cs="Times New Roman"/>
          <w:b/>
          <w:bCs/>
          <w:color w:val="000000"/>
          <w:sz w:val="26"/>
          <w:szCs w:val="26"/>
        </w:rPr>
      </w:pPr>
      <w:bookmarkStart w:id="9" w:name="_1jenmv6b8gs9" w:colFirst="0" w:colLast="0"/>
      <w:bookmarkEnd w:id="9"/>
      <w:r>
        <w:rPr>
          <w:rFonts w:ascii="Times New Roman" w:eastAsia="Times New Roman" w:hAnsi="Times New Roman" w:cs="Times New Roman"/>
          <w:b/>
          <w:bCs/>
          <w:color w:val="000000"/>
          <w:sz w:val="26"/>
          <w:szCs w:val="26"/>
        </w:rPr>
        <w:t>Insights</w:t>
      </w:r>
    </w:p>
    <w:p w14:paraId="62300BB8" w14:textId="77777777" w:rsidR="00497849" w:rsidRDefault="00497849" w:rsidP="00497849">
      <w:pPr>
        <w:numPr>
          <w:ilvl w:val="0"/>
          <w:numId w:val="5"/>
        </w:numPr>
        <w:spacing w:before="240"/>
        <w:jc w:val="both"/>
        <w:rPr>
          <w:rFonts w:ascii="Times New Roman" w:eastAsia="Times New Roman" w:hAnsi="Times New Roman" w:cs="Times New Roman"/>
        </w:rPr>
      </w:pPr>
      <w:r>
        <w:rPr>
          <w:rFonts w:ascii="Times New Roman" w:eastAsia="Times New Roman" w:hAnsi="Times New Roman" w:cs="Times New Roman"/>
        </w:rPr>
        <w:t>Older age groups, especially patients aged 56–65 and above, show the highest prevalence of chronic medical conditions, making them the most vulnerable demographic group.</w:t>
      </w:r>
    </w:p>
    <w:p w14:paraId="683E8DB3" w14:textId="77777777" w:rsidR="00497849" w:rsidRDefault="00497849" w:rsidP="00497849">
      <w:pPr>
        <w:numPr>
          <w:ilvl w:val="0"/>
          <w:numId w:val="5"/>
        </w:numPr>
        <w:jc w:val="both"/>
        <w:rPr>
          <w:rFonts w:ascii="Times New Roman" w:eastAsia="Times New Roman" w:hAnsi="Times New Roman" w:cs="Times New Roman"/>
        </w:rPr>
      </w:pPr>
      <w:r>
        <w:rPr>
          <w:rFonts w:ascii="Times New Roman" w:eastAsia="Times New Roman" w:hAnsi="Times New Roman" w:cs="Times New Roman"/>
        </w:rPr>
        <w:t>Chronic diseases such as Diabetes, Hypertension, Obesity, and Arthritis dominate the patient population, indicating lifestyle-related health risks within the population.</w:t>
      </w:r>
    </w:p>
    <w:p w14:paraId="42CEEF88" w14:textId="77777777" w:rsidR="00497849" w:rsidRDefault="00497849" w:rsidP="00497849">
      <w:pPr>
        <w:numPr>
          <w:ilvl w:val="0"/>
          <w:numId w:val="5"/>
        </w:numPr>
        <w:spacing w:after="240"/>
        <w:jc w:val="both"/>
        <w:rPr>
          <w:rFonts w:ascii="Times New Roman" w:eastAsia="Times New Roman" w:hAnsi="Times New Roman" w:cs="Times New Roman"/>
        </w:rPr>
      </w:pPr>
      <w:r>
        <w:rPr>
          <w:rFonts w:ascii="Times New Roman" w:eastAsia="Times New Roman" w:hAnsi="Times New Roman" w:cs="Times New Roman"/>
        </w:rPr>
        <w:t>The dashboard indicates continued high patient counts for preventable chronic conditions, suggesting a need for stronger preventive healthcare initiatives and community awareness programs.</w:t>
      </w:r>
    </w:p>
    <w:p w14:paraId="17C816A4" w14:textId="77777777" w:rsidR="00497849" w:rsidRDefault="00497849" w:rsidP="00497849">
      <w:pPr>
        <w:pStyle w:val="Heading3"/>
        <w:keepNext w:val="0"/>
        <w:keepLines w:val="0"/>
        <w:spacing w:before="280"/>
        <w:jc w:val="both"/>
        <w:rPr>
          <w:rFonts w:ascii="Times New Roman" w:eastAsia="Times New Roman" w:hAnsi="Times New Roman" w:cs="Times New Roman"/>
          <w:b/>
          <w:bCs/>
          <w:color w:val="000000"/>
          <w:sz w:val="26"/>
          <w:szCs w:val="26"/>
        </w:rPr>
      </w:pPr>
      <w:bookmarkStart w:id="10" w:name="_dzc0gcsysfc4" w:colFirst="0" w:colLast="0"/>
      <w:bookmarkEnd w:id="10"/>
      <w:r>
        <w:rPr>
          <w:rFonts w:ascii="Times New Roman" w:eastAsia="Times New Roman" w:hAnsi="Times New Roman" w:cs="Times New Roman"/>
          <w:b/>
          <w:bCs/>
          <w:color w:val="000000"/>
          <w:sz w:val="26"/>
          <w:szCs w:val="26"/>
        </w:rPr>
        <w:t>Recommendations</w:t>
      </w:r>
    </w:p>
    <w:p w14:paraId="72194A12" w14:textId="77777777" w:rsidR="00497849" w:rsidRDefault="00497849" w:rsidP="00497849">
      <w:pPr>
        <w:numPr>
          <w:ilvl w:val="0"/>
          <w:numId w:val="11"/>
        </w:numPr>
        <w:spacing w:before="240"/>
        <w:jc w:val="both"/>
        <w:rPr>
          <w:rFonts w:ascii="Times New Roman" w:eastAsia="Times New Roman" w:hAnsi="Times New Roman" w:cs="Times New Roman"/>
        </w:rPr>
      </w:pPr>
      <w:r>
        <w:rPr>
          <w:rFonts w:ascii="Times New Roman" w:eastAsia="Times New Roman" w:hAnsi="Times New Roman" w:cs="Times New Roman"/>
        </w:rPr>
        <w:t>Hospitals and public health agencies should implement community-based awareness campaigns focused on healthy lifestyles, nutrition, physical activity, and chronic disease prevention.</w:t>
      </w:r>
    </w:p>
    <w:p w14:paraId="4F3B9318" w14:textId="77777777" w:rsidR="00497849" w:rsidRDefault="00497849" w:rsidP="00497849">
      <w:pPr>
        <w:numPr>
          <w:ilvl w:val="0"/>
          <w:numId w:val="11"/>
        </w:numPr>
        <w:jc w:val="both"/>
        <w:rPr>
          <w:rFonts w:ascii="Times New Roman" w:eastAsia="Times New Roman" w:hAnsi="Times New Roman" w:cs="Times New Roman"/>
        </w:rPr>
      </w:pPr>
      <w:r>
        <w:rPr>
          <w:rFonts w:ascii="Times New Roman" w:eastAsia="Times New Roman" w:hAnsi="Times New Roman" w:cs="Times New Roman"/>
        </w:rPr>
        <w:t>Regular health screening programs for blood pressure, diabetes, obesity, and cancer detection should be expanded, especially for older adults and high-risk populations.</w:t>
      </w:r>
    </w:p>
    <w:p w14:paraId="3B86D19E" w14:textId="77777777" w:rsidR="00497849" w:rsidRDefault="00497849" w:rsidP="00497849">
      <w:pPr>
        <w:numPr>
          <w:ilvl w:val="0"/>
          <w:numId w:val="11"/>
        </w:numPr>
        <w:spacing w:after="240"/>
        <w:jc w:val="both"/>
        <w:rPr>
          <w:rFonts w:ascii="Times New Roman" w:eastAsia="Times New Roman" w:hAnsi="Times New Roman" w:cs="Times New Roman"/>
        </w:rPr>
      </w:pPr>
      <w:r>
        <w:rPr>
          <w:rFonts w:ascii="Times New Roman" w:eastAsia="Times New Roman" w:hAnsi="Times New Roman" w:cs="Times New Roman"/>
        </w:rPr>
        <w:t>Insurance providers and healthcare institutions should collaborate on wellness programs that encourage preventive healthcare and reduce long-term treatment costs.</w:t>
      </w:r>
    </w:p>
    <w:p w14:paraId="3E246254" w14:textId="77777777" w:rsidR="00497849" w:rsidRDefault="00497849" w:rsidP="00497849">
      <w:pPr>
        <w:pStyle w:val="Heading1"/>
        <w:keepNext w:val="0"/>
        <w:keepLines w:val="0"/>
        <w:spacing w:before="480"/>
        <w:jc w:val="both"/>
        <w:rPr>
          <w:rFonts w:ascii="Times New Roman" w:eastAsia="Times New Roman" w:hAnsi="Times New Roman" w:cs="Times New Roman"/>
          <w:b/>
          <w:bCs/>
          <w:sz w:val="46"/>
          <w:szCs w:val="46"/>
        </w:rPr>
      </w:pPr>
      <w:bookmarkStart w:id="11" w:name="_pgfh1mayxiqw" w:colFirst="0" w:colLast="0"/>
      <w:bookmarkEnd w:id="11"/>
      <w:r>
        <w:rPr>
          <w:rFonts w:ascii="Times New Roman" w:eastAsia="Times New Roman" w:hAnsi="Times New Roman" w:cs="Times New Roman"/>
          <w:b/>
          <w:bCs/>
          <w:sz w:val="46"/>
          <w:szCs w:val="46"/>
        </w:rPr>
        <w:t>Operational Efficiency</w:t>
      </w:r>
    </w:p>
    <w:p w14:paraId="14DD18BE" w14:textId="77777777" w:rsidR="00497849" w:rsidRDefault="00497849" w:rsidP="00497849">
      <w:pPr>
        <w:pStyle w:val="Heading3"/>
        <w:keepNext w:val="0"/>
        <w:keepLines w:val="0"/>
        <w:spacing w:before="280"/>
        <w:jc w:val="both"/>
        <w:rPr>
          <w:rFonts w:ascii="Times New Roman" w:eastAsia="Times New Roman" w:hAnsi="Times New Roman" w:cs="Times New Roman"/>
          <w:b/>
          <w:bCs/>
          <w:color w:val="000000"/>
          <w:sz w:val="26"/>
          <w:szCs w:val="26"/>
        </w:rPr>
      </w:pPr>
      <w:bookmarkStart w:id="12" w:name="_l7t0bb672i5a" w:colFirst="0" w:colLast="0"/>
      <w:bookmarkEnd w:id="12"/>
      <w:r>
        <w:rPr>
          <w:rFonts w:ascii="Times New Roman" w:eastAsia="Times New Roman" w:hAnsi="Times New Roman" w:cs="Times New Roman"/>
          <w:b/>
          <w:bCs/>
          <w:color w:val="000000"/>
          <w:sz w:val="26"/>
          <w:szCs w:val="26"/>
        </w:rPr>
        <w:t>Insights</w:t>
      </w:r>
    </w:p>
    <w:p w14:paraId="010AFDE7" w14:textId="77777777" w:rsidR="00497849" w:rsidRDefault="00497849" w:rsidP="00497849">
      <w:pPr>
        <w:numPr>
          <w:ilvl w:val="0"/>
          <w:numId w:val="7"/>
        </w:numPr>
        <w:spacing w:before="240"/>
        <w:jc w:val="both"/>
        <w:rPr>
          <w:rFonts w:ascii="Times New Roman" w:eastAsia="Times New Roman" w:hAnsi="Times New Roman" w:cs="Times New Roman"/>
        </w:rPr>
      </w:pPr>
      <w:r>
        <w:rPr>
          <w:rFonts w:ascii="Times New Roman" w:eastAsia="Times New Roman" w:hAnsi="Times New Roman" w:cs="Times New Roman"/>
        </w:rPr>
        <w:t>Admission types are relatively balanced across Elective, Urgent, and Emergency categories, with each contributing approximately one-third of total admissions. This indicates that hospitals must maintain operational readiness across all admission categories.</w:t>
      </w:r>
    </w:p>
    <w:p w14:paraId="1DBB4855" w14:textId="77777777" w:rsidR="00497849" w:rsidRDefault="00497849" w:rsidP="00497849">
      <w:pPr>
        <w:numPr>
          <w:ilvl w:val="0"/>
          <w:numId w:val="7"/>
        </w:numPr>
        <w:jc w:val="both"/>
        <w:rPr>
          <w:rFonts w:ascii="Times New Roman" w:eastAsia="Times New Roman" w:hAnsi="Times New Roman" w:cs="Times New Roman"/>
        </w:rPr>
      </w:pPr>
      <w:r>
        <w:rPr>
          <w:rFonts w:ascii="Times New Roman" w:eastAsia="Times New Roman" w:hAnsi="Times New Roman" w:cs="Times New Roman"/>
        </w:rPr>
        <w:t>The “Admission Over Time” trend shows stable admission volumes from 2020 to 2023 before declining in 2024. The decline may indicate incomplete yearly data or changing patient utilization patterns.</w:t>
      </w:r>
    </w:p>
    <w:p w14:paraId="34D2AE50" w14:textId="77777777" w:rsidR="00497849" w:rsidRDefault="00497849" w:rsidP="00497849">
      <w:pPr>
        <w:numPr>
          <w:ilvl w:val="0"/>
          <w:numId w:val="7"/>
        </w:numPr>
        <w:spacing w:after="240"/>
        <w:jc w:val="both"/>
        <w:rPr>
          <w:rFonts w:ascii="Times New Roman" w:eastAsia="Times New Roman" w:hAnsi="Times New Roman" w:cs="Times New Roman"/>
        </w:rPr>
      </w:pPr>
      <w:r>
        <w:rPr>
          <w:rFonts w:ascii="Times New Roman" w:eastAsia="Times New Roman" w:hAnsi="Times New Roman" w:cs="Times New Roman"/>
        </w:rPr>
        <w:t>Sustained high admission volumes over multiple years suggest ongoing pressure on hospital operations, patient flow management, and healthcare capacity.</w:t>
      </w:r>
    </w:p>
    <w:p w14:paraId="1175F258" w14:textId="77777777" w:rsidR="00497849" w:rsidRDefault="00497849" w:rsidP="00497849">
      <w:pPr>
        <w:pStyle w:val="Heading3"/>
        <w:keepNext w:val="0"/>
        <w:keepLines w:val="0"/>
        <w:spacing w:before="280"/>
        <w:jc w:val="both"/>
        <w:rPr>
          <w:rFonts w:ascii="Times New Roman" w:eastAsia="Times New Roman" w:hAnsi="Times New Roman" w:cs="Times New Roman"/>
          <w:b/>
          <w:bCs/>
          <w:color w:val="000000"/>
          <w:sz w:val="26"/>
          <w:szCs w:val="26"/>
        </w:rPr>
      </w:pPr>
      <w:bookmarkStart w:id="13" w:name="_rqehaommke6x" w:colFirst="0" w:colLast="0"/>
      <w:bookmarkEnd w:id="13"/>
      <w:r>
        <w:rPr>
          <w:rFonts w:ascii="Times New Roman" w:eastAsia="Times New Roman" w:hAnsi="Times New Roman" w:cs="Times New Roman"/>
          <w:b/>
          <w:bCs/>
          <w:color w:val="000000"/>
          <w:sz w:val="26"/>
          <w:szCs w:val="26"/>
        </w:rPr>
        <w:t>Recommendations</w:t>
      </w:r>
    </w:p>
    <w:p w14:paraId="74DEC96F" w14:textId="77777777" w:rsidR="00497849" w:rsidRDefault="00497849" w:rsidP="00497849">
      <w:pPr>
        <w:numPr>
          <w:ilvl w:val="0"/>
          <w:numId w:val="10"/>
        </w:numPr>
        <w:spacing w:before="240"/>
        <w:jc w:val="both"/>
        <w:rPr>
          <w:rFonts w:ascii="Times New Roman" w:eastAsia="Times New Roman" w:hAnsi="Times New Roman" w:cs="Times New Roman"/>
        </w:rPr>
      </w:pPr>
      <w:r>
        <w:rPr>
          <w:rFonts w:ascii="Times New Roman" w:eastAsia="Times New Roman" w:hAnsi="Times New Roman" w:cs="Times New Roman"/>
        </w:rPr>
        <w:t>Hospitals should strengthen emergency response and triage systems to ensure timely treatment for urgent and emergency patients while maintaining efficient elective care operations.</w:t>
      </w:r>
    </w:p>
    <w:p w14:paraId="21E29702" w14:textId="77777777" w:rsidR="00497849" w:rsidRDefault="00497849" w:rsidP="00497849">
      <w:pPr>
        <w:numPr>
          <w:ilvl w:val="0"/>
          <w:numId w:val="10"/>
        </w:numPr>
        <w:jc w:val="both"/>
        <w:rPr>
          <w:rFonts w:ascii="Times New Roman" w:eastAsia="Times New Roman" w:hAnsi="Times New Roman" w:cs="Times New Roman"/>
        </w:rPr>
      </w:pPr>
      <w:r>
        <w:rPr>
          <w:rFonts w:ascii="Times New Roman" w:eastAsia="Times New Roman" w:hAnsi="Times New Roman" w:cs="Times New Roman"/>
        </w:rPr>
        <w:lastRenderedPageBreak/>
        <w:t>Historical admission trends should be used to improve capacity planning, inventory management, and operational forecasting.</w:t>
      </w:r>
    </w:p>
    <w:p w14:paraId="0CC7E459" w14:textId="77777777" w:rsidR="00497849" w:rsidRDefault="00497849" w:rsidP="00497849">
      <w:pPr>
        <w:numPr>
          <w:ilvl w:val="0"/>
          <w:numId w:val="10"/>
        </w:numPr>
        <w:spacing w:after="240"/>
        <w:jc w:val="both"/>
        <w:rPr>
          <w:rFonts w:ascii="Times New Roman" w:eastAsia="Times New Roman" w:hAnsi="Times New Roman" w:cs="Times New Roman"/>
        </w:rPr>
      </w:pPr>
      <w:r>
        <w:rPr>
          <w:rFonts w:ascii="Times New Roman" w:eastAsia="Times New Roman" w:hAnsi="Times New Roman" w:cs="Times New Roman"/>
        </w:rPr>
        <w:t>Healthcare facilities should invest in digital health technologies and workflow automation systems to improve patient processing speed, reduce waiting times, and enhance operational coordination.</w:t>
      </w:r>
    </w:p>
    <w:p w14:paraId="6B8FDBC8" w14:textId="77777777" w:rsidR="00497849" w:rsidRDefault="00497849" w:rsidP="00497849">
      <w:pPr>
        <w:pStyle w:val="Heading1"/>
        <w:keepNext w:val="0"/>
        <w:keepLines w:val="0"/>
        <w:spacing w:before="480"/>
        <w:jc w:val="both"/>
        <w:rPr>
          <w:rFonts w:ascii="Times New Roman" w:eastAsia="Times New Roman" w:hAnsi="Times New Roman" w:cs="Times New Roman"/>
          <w:b/>
          <w:bCs/>
          <w:sz w:val="46"/>
          <w:szCs w:val="46"/>
        </w:rPr>
      </w:pPr>
      <w:bookmarkStart w:id="14" w:name="_lhphvrav505k" w:colFirst="0" w:colLast="0"/>
      <w:bookmarkEnd w:id="14"/>
      <w:r>
        <w:rPr>
          <w:rFonts w:ascii="Times New Roman" w:eastAsia="Times New Roman" w:hAnsi="Times New Roman" w:cs="Times New Roman"/>
          <w:b/>
          <w:bCs/>
          <w:sz w:val="46"/>
          <w:szCs w:val="46"/>
        </w:rPr>
        <w:t>Overall Conclusion</w:t>
      </w:r>
    </w:p>
    <w:p w14:paraId="08EF835E" w14:textId="77777777" w:rsidR="00497849" w:rsidRDefault="00497849" w:rsidP="00497849">
      <w:pPr>
        <w:spacing w:before="240" w:after="240"/>
        <w:jc w:val="both"/>
        <w:rPr>
          <w:rFonts w:ascii="Times New Roman" w:eastAsia="Times New Roman" w:hAnsi="Times New Roman" w:cs="Times New Roman"/>
        </w:rPr>
      </w:pPr>
      <w:r>
        <w:rPr>
          <w:rFonts w:ascii="Times New Roman" w:eastAsia="Times New Roman" w:hAnsi="Times New Roman" w:cs="Times New Roman"/>
        </w:rPr>
        <w:t>The dashboard analysis reveals that chronic diseases such as Arthritis, Diabetes, Hypertension, and Obesity remain the primary healthcare burden, particularly among older adults. Hospitals continue to experience high patient volumes and significant billing activity, with some facilities handling substantially larger workloads than others. Insurance providers play a major role in healthcare financing, while balanced admission patterns indicate the need for efficient operational management across elective, urgent, and emergency services.</w:t>
      </w:r>
    </w:p>
    <w:p w14:paraId="678F5C6D" w14:textId="77777777" w:rsidR="00497849" w:rsidRDefault="00497849" w:rsidP="00497849">
      <w:pPr>
        <w:spacing w:before="240" w:after="240"/>
        <w:jc w:val="both"/>
        <w:rPr>
          <w:rFonts w:ascii="Times New Roman" w:eastAsia="Times New Roman" w:hAnsi="Times New Roman" w:cs="Times New Roman"/>
        </w:rPr>
      </w:pPr>
      <w:r>
        <w:rPr>
          <w:rFonts w:ascii="Times New Roman" w:eastAsia="Times New Roman" w:hAnsi="Times New Roman" w:cs="Times New Roman"/>
        </w:rPr>
        <w:t>To improve overall healthcare performance, hospitals should prioritize preventive healthcare initiatives, strengthen chronic disease management, optimize resource allocation, improve billing oversight, and enhance operational efficiency through better staffing, technology adoption, and strategic planning.</w:t>
      </w:r>
    </w:p>
    <w:p w14:paraId="01D9B30B" w14:textId="77777777" w:rsidR="00497849" w:rsidRDefault="00497849" w:rsidP="00497849">
      <w:pPr>
        <w:spacing w:before="240" w:after="240"/>
        <w:jc w:val="both"/>
        <w:rPr>
          <w:rFonts w:ascii="Times New Roman" w:eastAsia="Times New Roman" w:hAnsi="Times New Roman" w:cs="Times New Roman"/>
        </w:rPr>
      </w:pPr>
    </w:p>
    <w:p w14:paraId="17B660A0" w14:textId="77777777" w:rsidR="00497849" w:rsidRDefault="00497849" w:rsidP="00497849">
      <w:pPr>
        <w:jc w:val="center"/>
        <w:rPr>
          <w:rFonts w:ascii="Times New Roman" w:eastAsia="Times New Roman" w:hAnsi="Times New Roman" w:cs="Times New Roman"/>
          <w:b/>
          <w:bCs/>
          <w:sz w:val="30"/>
          <w:szCs w:val="30"/>
          <w:u w:val="single"/>
        </w:rPr>
      </w:pPr>
      <w:r>
        <w:rPr>
          <w:rFonts w:ascii="Times New Roman" w:eastAsia="Times New Roman" w:hAnsi="Times New Roman" w:cs="Times New Roman"/>
          <w:b/>
          <w:bCs/>
          <w:sz w:val="30"/>
          <w:szCs w:val="30"/>
          <w:u w:val="single"/>
        </w:rPr>
        <w:t xml:space="preserve">GROUP </w:t>
      </w:r>
      <w:proofErr w:type="gramStart"/>
      <w:r>
        <w:rPr>
          <w:rFonts w:ascii="Times New Roman" w:eastAsia="Times New Roman" w:hAnsi="Times New Roman" w:cs="Times New Roman"/>
          <w:b/>
          <w:bCs/>
          <w:sz w:val="30"/>
          <w:szCs w:val="30"/>
          <w:u w:val="single"/>
        </w:rPr>
        <w:t>TWO  ACTIVE</w:t>
      </w:r>
      <w:proofErr w:type="gramEnd"/>
      <w:r>
        <w:rPr>
          <w:rFonts w:ascii="Times New Roman" w:eastAsia="Times New Roman" w:hAnsi="Times New Roman" w:cs="Times New Roman"/>
          <w:b/>
          <w:bCs/>
          <w:sz w:val="30"/>
          <w:szCs w:val="30"/>
          <w:u w:val="single"/>
        </w:rPr>
        <w:t xml:space="preserve"> MEMBERS</w:t>
      </w:r>
    </w:p>
    <w:tbl>
      <w:tblPr>
        <w:tblStyle w:val="PlainTable3"/>
        <w:tblW w:w="0" w:type="auto"/>
        <w:tblLook w:val="04A0" w:firstRow="1" w:lastRow="0" w:firstColumn="1" w:lastColumn="0" w:noHBand="0" w:noVBand="1"/>
      </w:tblPr>
      <w:tblGrid>
        <w:gridCol w:w="9350"/>
      </w:tblGrid>
      <w:tr w:rsidR="00497849" w:rsidRPr="00497849" w14:paraId="4795E847" w14:textId="77777777" w:rsidTr="004978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50" w:type="dxa"/>
          </w:tcPr>
          <w:p w14:paraId="4C2F2471" w14:textId="77777777" w:rsidR="00497849" w:rsidRPr="00497849" w:rsidRDefault="00497849" w:rsidP="00A77954">
            <w:pPr>
              <w:rPr>
                <w:rFonts w:ascii="Times New Roman" w:eastAsia="Times New Roman" w:hAnsi="Times New Roman" w:cs="Times New Roman"/>
                <w:b w:val="0"/>
                <w:bCs w:val="0"/>
                <w:sz w:val="30"/>
                <w:szCs w:val="30"/>
                <w:u w:val="single"/>
              </w:rPr>
            </w:pPr>
            <w:r w:rsidRPr="00497849">
              <w:rPr>
                <w:rFonts w:ascii="Times New Roman" w:eastAsia="Times New Roman" w:hAnsi="Times New Roman" w:cs="Times New Roman"/>
                <w:sz w:val="30"/>
                <w:szCs w:val="30"/>
                <w:u w:val="single"/>
              </w:rPr>
              <w:t>NAMES</w:t>
            </w:r>
            <w:r w:rsidRPr="00497849">
              <w:rPr>
                <w:rFonts w:ascii="Times New Roman" w:eastAsia="Times New Roman" w:hAnsi="Times New Roman" w:cs="Times New Roman"/>
                <w:sz w:val="30"/>
                <w:szCs w:val="30"/>
              </w:rPr>
              <w:t xml:space="preserve">                                                           </w:t>
            </w:r>
            <w:r w:rsidRPr="00497849">
              <w:rPr>
                <w:rFonts w:ascii="Times New Roman" w:eastAsia="Times New Roman" w:hAnsi="Times New Roman" w:cs="Times New Roman"/>
                <w:sz w:val="30"/>
                <w:szCs w:val="30"/>
                <w:u w:val="single"/>
              </w:rPr>
              <w:t>UNIQUE ID NUMBER</w:t>
            </w:r>
          </w:p>
        </w:tc>
      </w:tr>
      <w:tr w:rsidR="00497849" w:rsidRPr="00497849" w14:paraId="6A7E2F45" w14:textId="77777777" w:rsidTr="004978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CFCD4D7" w14:textId="778DF3CE" w:rsidR="00497849" w:rsidRPr="00497849" w:rsidRDefault="00497849" w:rsidP="00497849">
            <w:pPr>
              <w:pStyle w:val="ListParagraph"/>
              <w:numPr>
                <w:ilvl w:val="0"/>
                <w:numId w:val="2"/>
              </w:numPr>
              <w:rPr>
                <w:rFonts w:ascii="Times New Roman" w:eastAsia="Times New Roman" w:hAnsi="Times New Roman" w:cs="Times New Roman"/>
                <w:sz w:val="26"/>
                <w:szCs w:val="26"/>
              </w:rPr>
            </w:pPr>
            <w:r w:rsidRPr="00497849">
              <w:rPr>
                <w:rFonts w:ascii="Times New Roman" w:eastAsia="Times New Roman" w:hAnsi="Times New Roman" w:cs="Times New Roman"/>
                <w:sz w:val="26"/>
                <w:szCs w:val="26"/>
              </w:rPr>
              <w:t>Okpara Righteousness                                            DA26032113</w:t>
            </w:r>
          </w:p>
        </w:tc>
      </w:tr>
      <w:tr w:rsidR="00497849" w:rsidRPr="00497849" w14:paraId="3B8D40ED" w14:textId="77777777" w:rsidTr="00497849">
        <w:tc>
          <w:tcPr>
            <w:cnfStyle w:val="001000000000" w:firstRow="0" w:lastRow="0" w:firstColumn="1" w:lastColumn="0" w:oddVBand="0" w:evenVBand="0" w:oddHBand="0" w:evenHBand="0" w:firstRowFirstColumn="0" w:firstRowLastColumn="0" w:lastRowFirstColumn="0" w:lastRowLastColumn="0"/>
            <w:tcW w:w="9350" w:type="dxa"/>
          </w:tcPr>
          <w:p w14:paraId="05E84AE1" w14:textId="6A4ACF88" w:rsidR="00497849" w:rsidRPr="00497849" w:rsidRDefault="00497849" w:rsidP="00497849">
            <w:pPr>
              <w:pStyle w:val="ListParagraph"/>
              <w:numPr>
                <w:ilvl w:val="0"/>
                <w:numId w:val="2"/>
              </w:numPr>
              <w:rPr>
                <w:rFonts w:ascii="Times New Roman" w:eastAsia="Times New Roman" w:hAnsi="Times New Roman" w:cs="Times New Roman"/>
                <w:sz w:val="26"/>
                <w:szCs w:val="26"/>
              </w:rPr>
            </w:pPr>
            <w:r w:rsidRPr="00497849">
              <w:rPr>
                <w:rFonts w:ascii="Times New Roman" w:eastAsia="Times New Roman" w:hAnsi="Times New Roman" w:cs="Times New Roman"/>
                <w:sz w:val="26"/>
                <w:szCs w:val="26"/>
              </w:rPr>
              <w:t>Ajekwe Moses Zanzan                                           DA26032847</w:t>
            </w:r>
          </w:p>
        </w:tc>
      </w:tr>
      <w:tr w:rsidR="00497849" w:rsidRPr="00497849" w14:paraId="73B4F1FC" w14:textId="77777777" w:rsidTr="004978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5009DDD" w14:textId="098D32AF" w:rsidR="00497849" w:rsidRPr="00497849" w:rsidRDefault="00497849" w:rsidP="00497849">
            <w:pPr>
              <w:pStyle w:val="ListParagraph"/>
              <w:numPr>
                <w:ilvl w:val="0"/>
                <w:numId w:val="2"/>
              </w:numPr>
              <w:rPr>
                <w:rFonts w:ascii="Times New Roman" w:eastAsia="Times New Roman" w:hAnsi="Times New Roman" w:cs="Times New Roman"/>
                <w:sz w:val="26"/>
                <w:szCs w:val="26"/>
              </w:rPr>
            </w:pPr>
            <w:r w:rsidRPr="00497849">
              <w:rPr>
                <w:rFonts w:ascii="Times New Roman" w:eastAsia="Times New Roman" w:hAnsi="Times New Roman" w:cs="Times New Roman"/>
                <w:sz w:val="26"/>
                <w:szCs w:val="26"/>
              </w:rPr>
              <w:t>Dominic Takyi                                                       DA26031816</w:t>
            </w:r>
          </w:p>
        </w:tc>
      </w:tr>
      <w:tr w:rsidR="00497849" w:rsidRPr="00497849" w14:paraId="44178116" w14:textId="77777777" w:rsidTr="00497849">
        <w:tc>
          <w:tcPr>
            <w:cnfStyle w:val="001000000000" w:firstRow="0" w:lastRow="0" w:firstColumn="1" w:lastColumn="0" w:oddVBand="0" w:evenVBand="0" w:oddHBand="0" w:evenHBand="0" w:firstRowFirstColumn="0" w:firstRowLastColumn="0" w:lastRowFirstColumn="0" w:lastRowLastColumn="0"/>
            <w:tcW w:w="9350" w:type="dxa"/>
          </w:tcPr>
          <w:p w14:paraId="7FB4546B" w14:textId="14B7DD3F" w:rsidR="00497849" w:rsidRPr="00497849" w:rsidRDefault="00497849" w:rsidP="00497849">
            <w:pPr>
              <w:pStyle w:val="ListParagraph"/>
              <w:numPr>
                <w:ilvl w:val="0"/>
                <w:numId w:val="2"/>
              </w:numPr>
              <w:rPr>
                <w:rFonts w:ascii="Times New Roman" w:eastAsia="Times New Roman" w:hAnsi="Times New Roman" w:cs="Times New Roman"/>
                <w:sz w:val="26"/>
                <w:szCs w:val="26"/>
              </w:rPr>
            </w:pPr>
            <w:r w:rsidRPr="00497849">
              <w:rPr>
                <w:rFonts w:ascii="Times New Roman" w:eastAsia="Times New Roman" w:hAnsi="Times New Roman" w:cs="Times New Roman"/>
                <w:sz w:val="26"/>
                <w:szCs w:val="26"/>
              </w:rPr>
              <w:t>Armah Louis Nii Tettey                                         DA26032414</w:t>
            </w:r>
          </w:p>
        </w:tc>
      </w:tr>
      <w:tr w:rsidR="00497849" w:rsidRPr="00497849" w14:paraId="63A70928" w14:textId="77777777" w:rsidTr="004978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4BFF857" w14:textId="4EAA3C1A" w:rsidR="00497849" w:rsidRPr="00497849" w:rsidRDefault="00497849" w:rsidP="00497849">
            <w:pPr>
              <w:pStyle w:val="ListParagraph"/>
              <w:numPr>
                <w:ilvl w:val="0"/>
                <w:numId w:val="2"/>
              </w:numPr>
              <w:rPr>
                <w:rFonts w:ascii="Times New Roman" w:eastAsia="Times New Roman" w:hAnsi="Times New Roman" w:cs="Times New Roman"/>
                <w:sz w:val="26"/>
                <w:szCs w:val="26"/>
              </w:rPr>
            </w:pPr>
            <w:r w:rsidRPr="00497849">
              <w:rPr>
                <w:rFonts w:ascii="Times New Roman" w:eastAsia="Times New Roman" w:hAnsi="Times New Roman" w:cs="Times New Roman"/>
                <w:sz w:val="26"/>
                <w:szCs w:val="26"/>
              </w:rPr>
              <w:t>Blessing Ajoke Ahwe                                            DA26030486</w:t>
            </w:r>
          </w:p>
        </w:tc>
      </w:tr>
      <w:tr w:rsidR="00497849" w:rsidRPr="00497849" w14:paraId="03F6D561" w14:textId="77777777" w:rsidTr="00497849">
        <w:tc>
          <w:tcPr>
            <w:cnfStyle w:val="001000000000" w:firstRow="0" w:lastRow="0" w:firstColumn="1" w:lastColumn="0" w:oddVBand="0" w:evenVBand="0" w:oddHBand="0" w:evenHBand="0" w:firstRowFirstColumn="0" w:firstRowLastColumn="0" w:lastRowFirstColumn="0" w:lastRowLastColumn="0"/>
            <w:tcW w:w="9350" w:type="dxa"/>
          </w:tcPr>
          <w:p w14:paraId="1A171E6C" w14:textId="6CEFD3BF" w:rsidR="00497849" w:rsidRPr="00497849" w:rsidRDefault="00497849" w:rsidP="00497849">
            <w:pPr>
              <w:pStyle w:val="ListParagraph"/>
              <w:numPr>
                <w:ilvl w:val="0"/>
                <w:numId w:val="2"/>
              </w:numPr>
              <w:rPr>
                <w:rFonts w:ascii="Times New Roman" w:eastAsia="Times New Roman" w:hAnsi="Times New Roman" w:cs="Times New Roman"/>
                <w:sz w:val="26"/>
                <w:szCs w:val="26"/>
              </w:rPr>
            </w:pPr>
            <w:r w:rsidRPr="00497849">
              <w:rPr>
                <w:rFonts w:ascii="Times New Roman" w:eastAsia="Times New Roman" w:hAnsi="Times New Roman" w:cs="Times New Roman"/>
                <w:sz w:val="26"/>
                <w:szCs w:val="26"/>
              </w:rPr>
              <w:t>Emmanuel Victoria                                                DA260300990</w:t>
            </w:r>
          </w:p>
        </w:tc>
      </w:tr>
      <w:tr w:rsidR="00497849" w:rsidRPr="00497849" w14:paraId="3F0C694B" w14:textId="77777777" w:rsidTr="004978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F6489EF" w14:textId="281E2471" w:rsidR="00497849" w:rsidRPr="00497849" w:rsidRDefault="00497849" w:rsidP="00497849">
            <w:pPr>
              <w:pStyle w:val="ListParagraph"/>
              <w:numPr>
                <w:ilvl w:val="0"/>
                <w:numId w:val="2"/>
              </w:numPr>
              <w:rPr>
                <w:rFonts w:ascii="Times New Roman" w:eastAsia="Times New Roman" w:hAnsi="Times New Roman" w:cs="Times New Roman"/>
                <w:sz w:val="26"/>
                <w:szCs w:val="26"/>
              </w:rPr>
            </w:pPr>
            <w:r w:rsidRPr="00497849">
              <w:rPr>
                <w:rFonts w:ascii="Times New Roman" w:eastAsia="Times New Roman" w:hAnsi="Times New Roman" w:cs="Times New Roman"/>
                <w:sz w:val="26"/>
                <w:szCs w:val="26"/>
              </w:rPr>
              <w:t>Owolabi Babatunde Peter                                     DA26033350</w:t>
            </w:r>
          </w:p>
        </w:tc>
      </w:tr>
      <w:tr w:rsidR="00497849" w:rsidRPr="00497849" w14:paraId="097D92A6" w14:textId="77777777" w:rsidTr="00497849">
        <w:tc>
          <w:tcPr>
            <w:cnfStyle w:val="001000000000" w:firstRow="0" w:lastRow="0" w:firstColumn="1" w:lastColumn="0" w:oddVBand="0" w:evenVBand="0" w:oddHBand="0" w:evenHBand="0" w:firstRowFirstColumn="0" w:firstRowLastColumn="0" w:lastRowFirstColumn="0" w:lastRowLastColumn="0"/>
            <w:tcW w:w="9350" w:type="dxa"/>
          </w:tcPr>
          <w:p w14:paraId="5A30496C" w14:textId="538E5F4C" w:rsidR="00497849" w:rsidRPr="00497849" w:rsidRDefault="00497849" w:rsidP="00497849">
            <w:pPr>
              <w:pStyle w:val="ListParagraph"/>
              <w:numPr>
                <w:ilvl w:val="0"/>
                <w:numId w:val="2"/>
              </w:numPr>
              <w:rPr>
                <w:rFonts w:ascii="Times New Roman" w:eastAsia="Times New Roman" w:hAnsi="Times New Roman" w:cs="Times New Roman"/>
                <w:sz w:val="26"/>
                <w:szCs w:val="26"/>
              </w:rPr>
            </w:pPr>
            <w:r w:rsidRPr="00497849">
              <w:rPr>
                <w:rFonts w:ascii="Times New Roman" w:eastAsia="Times New Roman" w:hAnsi="Times New Roman" w:cs="Times New Roman"/>
                <w:sz w:val="26"/>
                <w:szCs w:val="26"/>
              </w:rPr>
              <w:t>Aniekan Udoh                                                      DA26032884</w:t>
            </w:r>
          </w:p>
        </w:tc>
      </w:tr>
      <w:tr w:rsidR="00497849" w:rsidRPr="00497849" w14:paraId="21415C20" w14:textId="77777777" w:rsidTr="004978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16F98B0" w14:textId="03F69C8F" w:rsidR="00497849" w:rsidRPr="00497849" w:rsidRDefault="00497849" w:rsidP="00497849">
            <w:pPr>
              <w:pStyle w:val="ListParagraph"/>
              <w:numPr>
                <w:ilvl w:val="0"/>
                <w:numId w:val="2"/>
              </w:numPr>
              <w:rPr>
                <w:rFonts w:ascii="Times New Roman" w:eastAsia="Times New Roman" w:hAnsi="Times New Roman" w:cs="Times New Roman"/>
                <w:sz w:val="26"/>
                <w:szCs w:val="26"/>
              </w:rPr>
            </w:pPr>
            <w:r w:rsidRPr="00497849">
              <w:rPr>
                <w:rFonts w:ascii="Times New Roman" w:eastAsia="Times New Roman" w:hAnsi="Times New Roman" w:cs="Times New Roman"/>
                <w:sz w:val="26"/>
                <w:szCs w:val="26"/>
              </w:rPr>
              <w:t>Obeya Ogbene Esther                                          DA26032961</w:t>
            </w:r>
          </w:p>
        </w:tc>
      </w:tr>
      <w:tr w:rsidR="00497849" w:rsidRPr="00497849" w14:paraId="0C3242B9" w14:textId="77777777" w:rsidTr="00497849">
        <w:tc>
          <w:tcPr>
            <w:cnfStyle w:val="001000000000" w:firstRow="0" w:lastRow="0" w:firstColumn="1" w:lastColumn="0" w:oddVBand="0" w:evenVBand="0" w:oddHBand="0" w:evenHBand="0" w:firstRowFirstColumn="0" w:firstRowLastColumn="0" w:lastRowFirstColumn="0" w:lastRowLastColumn="0"/>
            <w:tcW w:w="9350" w:type="dxa"/>
          </w:tcPr>
          <w:p w14:paraId="6377F657" w14:textId="23A0A380" w:rsidR="00497849" w:rsidRPr="00497849" w:rsidRDefault="00497849" w:rsidP="00497849">
            <w:pPr>
              <w:pStyle w:val="ListParagraph"/>
              <w:numPr>
                <w:ilvl w:val="0"/>
                <w:numId w:val="2"/>
              </w:numPr>
              <w:rPr>
                <w:rFonts w:ascii="Times New Roman" w:eastAsia="Times New Roman" w:hAnsi="Times New Roman" w:cs="Times New Roman"/>
                <w:sz w:val="26"/>
                <w:szCs w:val="26"/>
              </w:rPr>
            </w:pPr>
            <w:r w:rsidRPr="00497849">
              <w:rPr>
                <w:rFonts w:ascii="Times New Roman" w:eastAsia="Times New Roman" w:hAnsi="Times New Roman" w:cs="Times New Roman"/>
                <w:sz w:val="26"/>
                <w:szCs w:val="26"/>
              </w:rPr>
              <w:t>Kayode Omotayo Blessing                                  DA26030637</w:t>
            </w:r>
          </w:p>
        </w:tc>
      </w:tr>
      <w:tr w:rsidR="00497849" w:rsidRPr="00497849" w14:paraId="64562185" w14:textId="77777777" w:rsidTr="004978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F3661E2" w14:textId="0896498F" w:rsidR="00497849" w:rsidRPr="00497849" w:rsidRDefault="00497849" w:rsidP="00497849">
            <w:pPr>
              <w:pStyle w:val="ListParagraph"/>
              <w:numPr>
                <w:ilvl w:val="0"/>
                <w:numId w:val="2"/>
              </w:numPr>
              <w:rPr>
                <w:rFonts w:ascii="Times New Roman" w:eastAsia="Times New Roman" w:hAnsi="Times New Roman" w:cs="Times New Roman"/>
                <w:sz w:val="26"/>
                <w:szCs w:val="26"/>
              </w:rPr>
            </w:pPr>
            <w:r w:rsidRPr="00497849">
              <w:rPr>
                <w:rFonts w:ascii="Times New Roman" w:eastAsia="Times New Roman" w:hAnsi="Times New Roman" w:cs="Times New Roman"/>
                <w:sz w:val="26"/>
                <w:szCs w:val="26"/>
              </w:rPr>
              <w:t>Tayyib Mariya Umar                                           DA26032533</w:t>
            </w:r>
          </w:p>
        </w:tc>
      </w:tr>
      <w:tr w:rsidR="00497849" w:rsidRPr="00497849" w14:paraId="55A4A7C8" w14:textId="77777777" w:rsidTr="00497849">
        <w:tc>
          <w:tcPr>
            <w:cnfStyle w:val="001000000000" w:firstRow="0" w:lastRow="0" w:firstColumn="1" w:lastColumn="0" w:oddVBand="0" w:evenVBand="0" w:oddHBand="0" w:evenHBand="0" w:firstRowFirstColumn="0" w:firstRowLastColumn="0" w:lastRowFirstColumn="0" w:lastRowLastColumn="0"/>
            <w:tcW w:w="9350" w:type="dxa"/>
          </w:tcPr>
          <w:p w14:paraId="5750E66C" w14:textId="6F637F32" w:rsidR="00497849" w:rsidRPr="00497849" w:rsidRDefault="00497849" w:rsidP="00497849">
            <w:pPr>
              <w:pStyle w:val="ListParagraph"/>
              <w:numPr>
                <w:ilvl w:val="0"/>
                <w:numId w:val="2"/>
              </w:numPr>
              <w:rPr>
                <w:rFonts w:ascii="Times New Roman" w:eastAsia="Times New Roman" w:hAnsi="Times New Roman" w:cs="Times New Roman"/>
                <w:sz w:val="26"/>
                <w:szCs w:val="26"/>
              </w:rPr>
            </w:pPr>
            <w:r w:rsidRPr="00497849">
              <w:rPr>
                <w:rFonts w:ascii="Times New Roman" w:eastAsia="Times New Roman" w:hAnsi="Times New Roman" w:cs="Times New Roman"/>
                <w:sz w:val="26"/>
                <w:szCs w:val="26"/>
              </w:rPr>
              <w:t>Egbeji Victoria                                                    DA26032411</w:t>
            </w:r>
          </w:p>
        </w:tc>
      </w:tr>
      <w:tr w:rsidR="00497849" w:rsidRPr="00497849" w14:paraId="3D1B6F69" w14:textId="77777777" w:rsidTr="004978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8C588BC" w14:textId="433521BD" w:rsidR="00497849" w:rsidRPr="00497849" w:rsidRDefault="00497849" w:rsidP="00497849">
            <w:pPr>
              <w:pStyle w:val="ListParagraph"/>
              <w:numPr>
                <w:ilvl w:val="0"/>
                <w:numId w:val="2"/>
              </w:numPr>
              <w:rPr>
                <w:rFonts w:ascii="Times New Roman" w:eastAsia="Times New Roman" w:hAnsi="Times New Roman" w:cs="Times New Roman"/>
                <w:sz w:val="26"/>
                <w:szCs w:val="26"/>
              </w:rPr>
            </w:pPr>
            <w:r w:rsidRPr="00497849">
              <w:rPr>
                <w:rFonts w:ascii="Times New Roman" w:eastAsia="Times New Roman" w:hAnsi="Times New Roman" w:cs="Times New Roman"/>
                <w:sz w:val="26"/>
                <w:szCs w:val="26"/>
              </w:rPr>
              <w:t>Dimilola Oluwasegun                                         DA26032232</w:t>
            </w:r>
          </w:p>
        </w:tc>
      </w:tr>
      <w:tr w:rsidR="00497849" w:rsidRPr="00497849" w14:paraId="3E77E57F" w14:textId="77777777" w:rsidTr="00497849">
        <w:tc>
          <w:tcPr>
            <w:cnfStyle w:val="001000000000" w:firstRow="0" w:lastRow="0" w:firstColumn="1" w:lastColumn="0" w:oddVBand="0" w:evenVBand="0" w:oddHBand="0" w:evenHBand="0" w:firstRowFirstColumn="0" w:firstRowLastColumn="0" w:lastRowFirstColumn="0" w:lastRowLastColumn="0"/>
            <w:tcW w:w="9350" w:type="dxa"/>
          </w:tcPr>
          <w:p w14:paraId="608DE430" w14:textId="68F61ABD" w:rsidR="00497849" w:rsidRPr="00497849" w:rsidRDefault="00497849" w:rsidP="00497849">
            <w:pPr>
              <w:pStyle w:val="ListParagraph"/>
              <w:numPr>
                <w:ilvl w:val="0"/>
                <w:numId w:val="2"/>
              </w:numPr>
              <w:rPr>
                <w:rFonts w:ascii="Times New Roman" w:eastAsia="Times New Roman" w:hAnsi="Times New Roman" w:cs="Times New Roman"/>
                <w:sz w:val="26"/>
                <w:szCs w:val="26"/>
              </w:rPr>
            </w:pPr>
            <w:r w:rsidRPr="00497849">
              <w:rPr>
                <w:rFonts w:ascii="Times New Roman" w:eastAsia="Times New Roman" w:hAnsi="Times New Roman" w:cs="Times New Roman"/>
                <w:sz w:val="26"/>
                <w:szCs w:val="26"/>
              </w:rPr>
              <w:t>Emem Ejikeme                                                   DA26021462</w:t>
            </w:r>
          </w:p>
        </w:tc>
      </w:tr>
      <w:tr w:rsidR="00497849" w:rsidRPr="00497849" w14:paraId="1B979B8C" w14:textId="77777777" w:rsidTr="004978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8AC0DBC" w14:textId="2330DC9E" w:rsidR="00497849" w:rsidRPr="00497849" w:rsidRDefault="00497849" w:rsidP="00497849">
            <w:pPr>
              <w:pStyle w:val="ListParagraph"/>
              <w:numPr>
                <w:ilvl w:val="0"/>
                <w:numId w:val="2"/>
              </w:numPr>
              <w:rPr>
                <w:rFonts w:ascii="Times New Roman" w:eastAsia="Times New Roman" w:hAnsi="Times New Roman" w:cs="Times New Roman"/>
                <w:sz w:val="26"/>
                <w:szCs w:val="26"/>
              </w:rPr>
            </w:pPr>
            <w:r w:rsidRPr="00497849">
              <w:rPr>
                <w:rFonts w:ascii="Times New Roman" w:eastAsia="Times New Roman" w:hAnsi="Times New Roman" w:cs="Times New Roman"/>
                <w:sz w:val="26"/>
                <w:szCs w:val="26"/>
              </w:rPr>
              <w:t>Barnabas Agbo                                                  DA26030636</w:t>
            </w:r>
          </w:p>
        </w:tc>
      </w:tr>
    </w:tbl>
    <w:p w14:paraId="1DCE8CC0" w14:textId="77777777" w:rsidR="00D71AB2" w:rsidRDefault="00D71AB2" w:rsidP="00497849">
      <w:pPr>
        <w:jc w:val="center"/>
      </w:pPr>
    </w:p>
    <w:sectPr w:rsidR="00D71A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17C0C"/>
    <w:multiLevelType w:val="multilevel"/>
    <w:tmpl w:val="6FA0EB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A3B2B34"/>
    <w:multiLevelType w:val="multilevel"/>
    <w:tmpl w:val="65F4A0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6417782"/>
    <w:multiLevelType w:val="multilevel"/>
    <w:tmpl w:val="0E3A4B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9562ADA"/>
    <w:multiLevelType w:val="multilevel"/>
    <w:tmpl w:val="5CBABE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F552994"/>
    <w:multiLevelType w:val="multilevel"/>
    <w:tmpl w:val="7A0A59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F9D7755"/>
    <w:multiLevelType w:val="multilevel"/>
    <w:tmpl w:val="98B4D3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77B412C"/>
    <w:multiLevelType w:val="multilevel"/>
    <w:tmpl w:val="C952C7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27AA4E47"/>
    <w:multiLevelType w:val="multilevel"/>
    <w:tmpl w:val="6BF4D2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598B0284"/>
    <w:multiLevelType w:val="multilevel"/>
    <w:tmpl w:val="69A686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68AE3208"/>
    <w:multiLevelType w:val="multilevel"/>
    <w:tmpl w:val="1F045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6FEE3A98"/>
    <w:multiLevelType w:val="multilevel"/>
    <w:tmpl w:val="38C413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2707949">
    <w:abstractNumId w:val="6"/>
  </w:num>
  <w:num w:numId="2" w16cid:durableId="988829572">
    <w:abstractNumId w:val="2"/>
  </w:num>
  <w:num w:numId="3" w16cid:durableId="1342467297">
    <w:abstractNumId w:val="3"/>
  </w:num>
  <w:num w:numId="4" w16cid:durableId="1168592649">
    <w:abstractNumId w:val="4"/>
  </w:num>
  <w:num w:numId="5" w16cid:durableId="1896505985">
    <w:abstractNumId w:val="9"/>
  </w:num>
  <w:num w:numId="6" w16cid:durableId="67726367">
    <w:abstractNumId w:val="0"/>
  </w:num>
  <w:num w:numId="7" w16cid:durableId="2114586339">
    <w:abstractNumId w:val="5"/>
  </w:num>
  <w:num w:numId="8" w16cid:durableId="1644385452">
    <w:abstractNumId w:val="7"/>
  </w:num>
  <w:num w:numId="9" w16cid:durableId="1101342551">
    <w:abstractNumId w:val="1"/>
  </w:num>
  <w:num w:numId="10" w16cid:durableId="186410893">
    <w:abstractNumId w:val="8"/>
  </w:num>
  <w:num w:numId="11" w16cid:durableId="11438916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849"/>
    <w:rsid w:val="003C495E"/>
    <w:rsid w:val="00497849"/>
    <w:rsid w:val="00D71AB2"/>
    <w:rsid w:val="00F039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D96AA"/>
  <w15:chartTrackingRefBased/>
  <w15:docId w15:val="{101C08D8-60A1-4AA4-BCCA-A9474DCDE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849"/>
    <w:pPr>
      <w:spacing w:after="0" w:line="276" w:lineRule="auto"/>
    </w:pPr>
    <w:rPr>
      <w:rFonts w:ascii="Arial" w:eastAsia="Arial" w:hAnsi="Arial" w:cs="Arial"/>
      <w:kern w:val="0"/>
      <w:sz w:val="22"/>
      <w:szCs w:val="22"/>
      <w:lang w:val="en-GB"/>
      <w14:ligatures w14:val="none"/>
    </w:rPr>
  </w:style>
  <w:style w:type="paragraph" w:styleId="Heading1">
    <w:name w:val="heading 1"/>
    <w:basedOn w:val="Normal"/>
    <w:next w:val="Normal"/>
    <w:link w:val="Heading1Char"/>
    <w:uiPriority w:val="9"/>
    <w:qFormat/>
    <w:rsid w:val="004978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978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978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78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78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78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78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78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78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78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78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78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78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78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78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78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78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7849"/>
    <w:rPr>
      <w:rFonts w:eastAsiaTheme="majorEastAsia" w:cstheme="majorBidi"/>
      <w:color w:val="272727" w:themeColor="text1" w:themeTint="D8"/>
    </w:rPr>
  </w:style>
  <w:style w:type="paragraph" w:styleId="Title">
    <w:name w:val="Title"/>
    <w:basedOn w:val="Normal"/>
    <w:next w:val="Normal"/>
    <w:link w:val="TitleChar"/>
    <w:uiPriority w:val="10"/>
    <w:qFormat/>
    <w:rsid w:val="004978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78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78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78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7849"/>
    <w:pPr>
      <w:spacing w:before="160"/>
      <w:jc w:val="center"/>
    </w:pPr>
    <w:rPr>
      <w:i/>
      <w:iCs/>
      <w:color w:val="404040" w:themeColor="text1" w:themeTint="BF"/>
    </w:rPr>
  </w:style>
  <w:style w:type="character" w:customStyle="1" w:styleId="QuoteChar">
    <w:name w:val="Quote Char"/>
    <w:basedOn w:val="DefaultParagraphFont"/>
    <w:link w:val="Quote"/>
    <w:uiPriority w:val="29"/>
    <w:rsid w:val="00497849"/>
    <w:rPr>
      <w:i/>
      <w:iCs/>
      <w:color w:val="404040" w:themeColor="text1" w:themeTint="BF"/>
    </w:rPr>
  </w:style>
  <w:style w:type="paragraph" w:styleId="ListParagraph">
    <w:name w:val="List Paragraph"/>
    <w:basedOn w:val="Normal"/>
    <w:uiPriority w:val="34"/>
    <w:qFormat/>
    <w:rsid w:val="00497849"/>
    <w:pPr>
      <w:ind w:left="720"/>
      <w:contextualSpacing/>
    </w:pPr>
  </w:style>
  <w:style w:type="character" w:styleId="IntenseEmphasis">
    <w:name w:val="Intense Emphasis"/>
    <w:basedOn w:val="DefaultParagraphFont"/>
    <w:uiPriority w:val="21"/>
    <w:qFormat/>
    <w:rsid w:val="00497849"/>
    <w:rPr>
      <w:i/>
      <w:iCs/>
      <w:color w:val="2F5496" w:themeColor="accent1" w:themeShade="BF"/>
    </w:rPr>
  </w:style>
  <w:style w:type="paragraph" w:styleId="IntenseQuote">
    <w:name w:val="Intense Quote"/>
    <w:basedOn w:val="Normal"/>
    <w:next w:val="Normal"/>
    <w:link w:val="IntenseQuoteChar"/>
    <w:uiPriority w:val="30"/>
    <w:qFormat/>
    <w:rsid w:val="004978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7849"/>
    <w:rPr>
      <w:i/>
      <w:iCs/>
      <w:color w:val="2F5496" w:themeColor="accent1" w:themeShade="BF"/>
    </w:rPr>
  </w:style>
  <w:style w:type="character" w:styleId="IntenseReference">
    <w:name w:val="Intense Reference"/>
    <w:basedOn w:val="DefaultParagraphFont"/>
    <w:uiPriority w:val="32"/>
    <w:qFormat/>
    <w:rsid w:val="00497849"/>
    <w:rPr>
      <w:b/>
      <w:bCs/>
      <w:smallCaps/>
      <w:color w:val="2F5496" w:themeColor="accent1" w:themeShade="BF"/>
      <w:spacing w:val="5"/>
    </w:rPr>
  </w:style>
  <w:style w:type="table" w:styleId="TableGrid">
    <w:name w:val="Table Grid"/>
    <w:basedOn w:val="TableNormal"/>
    <w:uiPriority w:val="39"/>
    <w:rsid w:val="004978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49784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1281</Words>
  <Characters>7305</Characters>
  <Application>Microsoft Office Word</Application>
  <DocSecurity>0</DocSecurity>
  <Lines>60</Lines>
  <Paragraphs>17</Paragraphs>
  <ScaleCrop>false</ScaleCrop>
  <Company/>
  <LinksUpToDate>false</LinksUpToDate>
  <CharactersWithSpaces>8569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UDDYBON</dc:creator>
  <cp:keywords/>
  <dc:description/>
  <cp:lastModifiedBy>UDDYBON</cp:lastModifiedBy>
  <cp:revision>1</cp:revision>
  <dcterms:created xsi:type="dcterms:W3CDTF">2026-05-24T01:48:00Z</dcterms:created>
  <dcterms:modified xsi:type="dcterms:W3CDTF">2026-05-24T01:52:00Z</dcterms:modified>
</cp:coreProperties>
</file>