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hd w:fill="ffffff" w:val="clear"/>
        <w:spacing w:after="180" w:before="180" w:lineRule="auto"/>
        <w:jc w:val="center"/>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tl w:val="0"/>
        </w:rPr>
        <w:t xml:space="preserve">Revision Memo </w:t>
      </w:r>
    </w:p>
    <w:p w:rsidR="00000000" w:rsidDel="00000000" w:rsidP="00000000" w:rsidRDefault="00000000" w:rsidRPr="00000000" w14:paraId="00000002">
      <w:pPr>
        <w:shd w:fill="ffffff" w:val="clear"/>
        <w:spacing w:after="180" w:before="180" w:lineRule="auto"/>
        <w:jc w:val="left"/>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tl w:val="0"/>
        </w:rPr>
        <w:t xml:space="preserve">To Dr. Salter (or, the Editor of Submissions for Foundations of Digital Games 2025 and/or the Queer Games Workshop of 2024): </w:t>
      </w:r>
    </w:p>
    <w:p w:rsidR="00000000" w:rsidDel="00000000" w:rsidP="00000000" w:rsidRDefault="00000000" w:rsidRPr="00000000" w14:paraId="00000003">
      <w:pPr>
        <w:shd w:fill="ffffff" w:val="clear"/>
        <w:spacing w:after="180" w:before="180"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Thank you kindly for your patience and compassion this unusually challenging semester in which I was, as our head priest would say at the Ann Arbor Zen Buddhist Temple, “karmaically mowed like golf course class every day,”</w:t>
      </w:r>
      <w:r w:rsidDel="00000000" w:rsidR="00000000" w:rsidRPr="00000000">
        <w:rPr>
          <w:rFonts w:ascii="Times New Roman" w:cs="Times New Roman" w:eastAsia="Times New Roman" w:hAnsi="Times New Roman"/>
          <w:sz w:val="24"/>
          <w:szCs w:val="24"/>
          <w:highlight w:val="white"/>
          <w:vertAlign w:val="superscript"/>
        </w:rPr>
        <w:footnoteReference w:customMarkFollows="0" w:id="0"/>
      </w:r>
      <w:r w:rsidDel="00000000" w:rsidR="00000000" w:rsidRPr="00000000">
        <w:rPr>
          <w:rFonts w:ascii="Times New Roman" w:cs="Times New Roman" w:eastAsia="Times New Roman" w:hAnsi="Times New Roman"/>
          <w:sz w:val="24"/>
          <w:szCs w:val="24"/>
          <w:highlight w:val="white"/>
          <w:rtl w:val="0"/>
        </w:rPr>
        <w:t xml:space="preserve"> and delivered lackluster results. Your feedback is quite helpful for envisioning the future of this project, which I intend to continue working on with vigor. I’ve narrowed my revision and expansion plans into the following three areas, per your suggestions: </w:t>
      </w:r>
    </w:p>
    <w:p w:rsidR="00000000" w:rsidDel="00000000" w:rsidP="00000000" w:rsidRDefault="00000000" w:rsidRPr="00000000" w14:paraId="00000004">
      <w:pPr>
        <w:numPr>
          <w:ilvl w:val="0"/>
          <w:numId w:val="1"/>
        </w:numPr>
        <w:shd w:fill="ffffff" w:val="clear"/>
        <w:spacing w:after="0" w:afterAutospacing="0" w:before="180" w:lineRule="auto"/>
        <w:ind w:left="720" w:hanging="36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Revising the work into the ACM SIGCONF Proceedings Style version of the ACM Master Template in order to prepare for proper organization and submission to Foundations of Digital Games in the future, either in 2025, or as part of materials for the Queer Games Workshop at the 2024 Event  </w:t>
      </w:r>
    </w:p>
    <w:p w:rsidR="00000000" w:rsidDel="00000000" w:rsidP="00000000" w:rsidRDefault="00000000" w:rsidRPr="00000000" w14:paraId="00000005">
      <w:pPr>
        <w:numPr>
          <w:ilvl w:val="0"/>
          <w:numId w:val="1"/>
        </w:numPr>
        <w:shd w:fill="ffffff" w:val="clear"/>
        <w:spacing w:after="0" w:afterAutospacing="0" w:before="0" w:beforeAutospacing="0" w:lineRule="auto"/>
        <w:ind w:left="720" w:hanging="36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Creating explicit connections between platforms like itch.io, Renpy and rhetoric and breaking down how these tools as being low-code, open source, and targeted for narrative development and sharing means for the creation of new loci for studying queer rhetoric and queer storytelling </w:t>
      </w:r>
    </w:p>
    <w:p w:rsidR="00000000" w:rsidDel="00000000" w:rsidP="00000000" w:rsidRDefault="00000000" w:rsidRPr="00000000" w14:paraId="00000006">
      <w:pPr>
        <w:numPr>
          <w:ilvl w:val="0"/>
          <w:numId w:val="1"/>
        </w:numPr>
        <w:shd w:fill="ffffff" w:val="clear"/>
        <w:spacing w:after="180" w:before="0" w:beforeAutospacing="0" w:lineRule="auto"/>
        <w:ind w:left="720" w:hanging="36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Further developing the point of analysis in this work as decidedly related to text and story to support studying the platforms indicated as sites of queer rhetorics and storytelling, saving analysis of interfaces, code, and audience / critic reception for future work beyond the scope of this specific project. </w:t>
      </w:r>
    </w:p>
    <w:p w:rsidR="00000000" w:rsidDel="00000000" w:rsidP="00000000" w:rsidRDefault="00000000" w:rsidRPr="00000000" w14:paraId="00000007">
      <w:pPr>
        <w:shd w:fill="ffffff" w:val="clear"/>
        <w:spacing w:after="180" w:before="180" w:lineRule="auto"/>
        <w:ind w:lef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Given how early in development this project remains at this time, it is difficult to fully articulate precisely how these three pieces of feedback will strengthen the project, in that there is more left to do than there has been done. Still yet in spite of this, and in spite of the roadblocks this project experienced this semester, I grow ever more intrigued and excited to continue work on it as I continue to deepen my knowledge and preparation by engaging with additional work on queer indie games. In accordance with your feedback regarding seeking out additional papers from the ACM Digital Library from prior Foundations of Digital Games events and other like-academic work, I intend to include the following sources in my revisions:   </w:t>
      </w:r>
      <w:r w:rsidDel="00000000" w:rsidR="00000000" w:rsidRPr="00000000">
        <w:rPr>
          <w:rtl w:val="0"/>
        </w:rPr>
      </w:r>
    </w:p>
    <w:p w:rsidR="00000000" w:rsidDel="00000000" w:rsidP="00000000" w:rsidRDefault="00000000" w:rsidRPr="00000000" w14:paraId="00000008">
      <w:pPr>
        <w:spacing w:line="240" w:lineRule="auto"/>
        <w:ind w:left="720"/>
        <w:rPr>
          <w:rFonts w:ascii="Times New Roman" w:cs="Times New Roman" w:eastAsia="Times New Roman" w:hAnsi="Times New Roman"/>
          <w:sz w:val="24"/>
          <w:szCs w:val="24"/>
          <w:highlight w:val="white"/>
        </w:rPr>
      </w:pPr>
      <w:hyperlink r:id="rId7">
        <w:r w:rsidDel="00000000" w:rsidR="00000000" w:rsidRPr="00000000">
          <w:rPr>
            <w:rFonts w:ascii="Times New Roman" w:cs="Times New Roman" w:eastAsia="Times New Roman" w:hAnsi="Times New Roman"/>
            <w:sz w:val="24"/>
            <w:szCs w:val="24"/>
            <w:rtl w:val="0"/>
          </w:rPr>
          <w:t xml:space="preserve">Beare, Zachary, and Melissa Stone. “By Queer People, For Queer People: : FOLX, Plume, and the Promise of Queer UX.” </w:t>
        </w:r>
      </w:hyperlink>
      <w:hyperlink r:id="rId8">
        <w:r w:rsidDel="00000000" w:rsidR="00000000" w:rsidRPr="00000000">
          <w:rPr>
            <w:rFonts w:ascii="Times New Roman" w:cs="Times New Roman" w:eastAsia="Times New Roman" w:hAnsi="Times New Roman"/>
            <w:i w:val="1"/>
            <w:sz w:val="24"/>
            <w:szCs w:val="24"/>
            <w:rtl w:val="0"/>
          </w:rPr>
          <w:t xml:space="preserve">Proceedings of the 39th ACM International Conference on Design of Communication</w:t>
        </w:r>
      </w:hyperlink>
      <w:hyperlink r:id="rId9">
        <w:r w:rsidDel="00000000" w:rsidR="00000000" w:rsidRPr="00000000">
          <w:rPr>
            <w:rFonts w:ascii="Times New Roman" w:cs="Times New Roman" w:eastAsia="Times New Roman" w:hAnsi="Times New Roman"/>
            <w:sz w:val="24"/>
            <w:szCs w:val="24"/>
            <w:rtl w:val="0"/>
          </w:rPr>
          <w:t xml:space="preserve">, Association for Computing Machinery, 2021, pp. 20–25. </w:t>
        </w:r>
      </w:hyperlink>
      <w:hyperlink r:id="rId10">
        <w:r w:rsidDel="00000000" w:rsidR="00000000" w:rsidRPr="00000000">
          <w:rPr>
            <w:rFonts w:ascii="Times New Roman" w:cs="Times New Roman" w:eastAsia="Times New Roman" w:hAnsi="Times New Roman"/>
            <w:i w:val="1"/>
            <w:sz w:val="24"/>
            <w:szCs w:val="24"/>
            <w:rtl w:val="0"/>
          </w:rPr>
          <w:t xml:space="preserve">ACM Digital Library</w:t>
        </w:r>
      </w:hyperlink>
      <w:hyperlink r:id="rId11">
        <w:r w:rsidDel="00000000" w:rsidR="00000000" w:rsidRPr="00000000">
          <w:rPr>
            <w:rFonts w:ascii="Times New Roman" w:cs="Times New Roman" w:eastAsia="Times New Roman" w:hAnsi="Times New Roman"/>
            <w:sz w:val="24"/>
            <w:szCs w:val="24"/>
            <w:rtl w:val="0"/>
          </w:rPr>
          <w:t xml:space="preserve">, https://doi.org/10.1145/3472714.3473618.</w:t>
        </w:r>
      </w:hyperlink>
      <w:r w:rsidDel="00000000" w:rsidR="00000000" w:rsidRPr="00000000">
        <w:rPr>
          <w:rtl w:val="0"/>
        </w:rPr>
      </w:r>
    </w:p>
    <w:p w:rsidR="00000000" w:rsidDel="00000000" w:rsidP="00000000" w:rsidRDefault="00000000" w:rsidRPr="00000000" w14:paraId="00000009">
      <w:pPr>
        <w:widowControl w:val="0"/>
        <w:spacing w:line="240" w:lineRule="auto"/>
        <w:ind w:left="720"/>
        <w:rPr>
          <w:rFonts w:ascii="Times New Roman" w:cs="Times New Roman" w:eastAsia="Times New Roman" w:hAnsi="Times New Roman"/>
          <w:sz w:val="24"/>
          <w:szCs w:val="24"/>
          <w:highlight w:val="white"/>
        </w:rPr>
      </w:pPr>
      <w:hyperlink r:id="rId12">
        <w:r w:rsidDel="00000000" w:rsidR="00000000" w:rsidRPr="00000000">
          <w:rPr>
            <w:rFonts w:ascii="Times New Roman" w:cs="Times New Roman" w:eastAsia="Times New Roman" w:hAnsi="Times New Roman"/>
            <w:sz w:val="24"/>
            <w:szCs w:val="24"/>
            <w:rtl w:val="0"/>
          </w:rPr>
          <w:t xml:space="preserve">Ho, Xavier, et al. “Queer Indie Games on Itch.Io, 2013-2022.” </w:t>
        </w:r>
      </w:hyperlink>
      <w:hyperlink r:id="rId13">
        <w:r w:rsidDel="00000000" w:rsidR="00000000" w:rsidRPr="00000000">
          <w:rPr>
            <w:rFonts w:ascii="Times New Roman" w:cs="Times New Roman" w:eastAsia="Times New Roman" w:hAnsi="Times New Roman"/>
            <w:i w:val="1"/>
            <w:sz w:val="24"/>
            <w:szCs w:val="24"/>
            <w:rtl w:val="0"/>
          </w:rPr>
          <w:t xml:space="preserve">Proceedings of the 17th International Conference on the Foundations of Digital Games</w:t>
        </w:r>
      </w:hyperlink>
      <w:hyperlink r:id="rId14">
        <w:r w:rsidDel="00000000" w:rsidR="00000000" w:rsidRPr="00000000">
          <w:rPr>
            <w:rFonts w:ascii="Times New Roman" w:cs="Times New Roman" w:eastAsia="Times New Roman" w:hAnsi="Times New Roman"/>
            <w:sz w:val="24"/>
            <w:szCs w:val="24"/>
            <w:rtl w:val="0"/>
          </w:rPr>
          <w:t xml:space="preserve">, Association for Computing Machinery, 2022, pp. 1–10. </w:t>
        </w:r>
      </w:hyperlink>
      <w:hyperlink r:id="rId15">
        <w:r w:rsidDel="00000000" w:rsidR="00000000" w:rsidRPr="00000000">
          <w:rPr>
            <w:rFonts w:ascii="Times New Roman" w:cs="Times New Roman" w:eastAsia="Times New Roman" w:hAnsi="Times New Roman"/>
            <w:i w:val="1"/>
            <w:sz w:val="24"/>
            <w:szCs w:val="24"/>
            <w:rtl w:val="0"/>
          </w:rPr>
          <w:t xml:space="preserve">ACM Digital Library</w:t>
        </w:r>
      </w:hyperlink>
      <w:hyperlink r:id="rId16">
        <w:r w:rsidDel="00000000" w:rsidR="00000000" w:rsidRPr="00000000">
          <w:rPr>
            <w:rFonts w:ascii="Times New Roman" w:cs="Times New Roman" w:eastAsia="Times New Roman" w:hAnsi="Times New Roman"/>
            <w:sz w:val="24"/>
            <w:szCs w:val="24"/>
            <w:rtl w:val="0"/>
          </w:rPr>
          <w:t xml:space="preserve">, https://doi.org/10.1145/3555858.3555881.</w:t>
        </w:r>
      </w:hyperlink>
      <w:r w:rsidDel="00000000" w:rsidR="00000000" w:rsidRPr="00000000">
        <w:rPr>
          <w:rtl w:val="0"/>
        </w:rPr>
      </w:r>
    </w:p>
    <w:p w:rsidR="00000000" w:rsidDel="00000000" w:rsidP="00000000" w:rsidRDefault="00000000" w:rsidRPr="00000000" w14:paraId="0000000A">
      <w:pPr>
        <w:widowControl w:val="0"/>
        <w:spacing w:line="240" w:lineRule="auto"/>
        <w:ind w:left="720"/>
        <w:rPr>
          <w:rFonts w:ascii="Times New Roman" w:cs="Times New Roman" w:eastAsia="Times New Roman" w:hAnsi="Times New Roman"/>
          <w:sz w:val="24"/>
          <w:szCs w:val="24"/>
          <w:highlight w:val="white"/>
        </w:rPr>
      </w:pPr>
      <w:hyperlink r:id="rId17">
        <w:r w:rsidDel="00000000" w:rsidR="00000000" w:rsidRPr="00000000">
          <w:rPr>
            <w:rFonts w:ascii="Times New Roman" w:cs="Times New Roman" w:eastAsia="Times New Roman" w:hAnsi="Times New Roman"/>
            <w:sz w:val="24"/>
            <w:szCs w:val="24"/>
            <w:rtl w:val="0"/>
          </w:rPr>
          <w:t xml:space="preserve">Kretzschmar, Mark, and Sara Raffel. </w:t>
        </w:r>
      </w:hyperlink>
      <w:hyperlink r:id="rId18">
        <w:r w:rsidDel="00000000" w:rsidR="00000000" w:rsidRPr="00000000">
          <w:rPr>
            <w:rFonts w:ascii="Times New Roman" w:cs="Times New Roman" w:eastAsia="Times New Roman" w:hAnsi="Times New Roman"/>
            <w:i w:val="1"/>
            <w:sz w:val="24"/>
            <w:szCs w:val="24"/>
            <w:rtl w:val="0"/>
          </w:rPr>
          <w:t xml:space="preserve">The History and Allure of Interactive Visual Novels</w:t>
        </w:r>
      </w:hyperlink>
      <w:hyperlink r:id="rId19">
        <w:r w:rsidDel="00000000" w:rsidR="00000000" w:rsidRPr="00000000">
          <w:rPr>
            <w:rFonts w:ascii="Times New Roman" w:cs="Times New Roman" w:eastAsia="Times New Roman" w:hAnsi="Times New Roman"/>
            <w:sz w:val="24"/>
            <w:szCs w:val="24"/>
            <w:rtl w:val="0"/>
          </w:rPr>
          <w:t xml:space="preserve">. Bloomsbury Academic, 2023.</w:t>
        </w:r>
      </w:hyperlink>
      <w:r w:rsidDel="00000000" w:rsidR="00000000" w:rsidRPr="00000000">
        <w:rPr>
          <w:rtl w:val="0"/>
        </w:rPr>
      </w:r>
    </w:p>
    <w:p w:rsidR="00000000" w:rsidDel="00000000" w:rsidP="00000000" w:rsidRDefault="00000000" w:rsidRPr="00000000" w14:paraId="0000000B">
      <w:pPr>
        <w:widowControl w:val="0"/>
        <w:spacing w:line="240" w:lineRule="auto"/>
        <w:ind w:left="720"/>
        <w:rPr>
          <w:rFonts w:ascii="Times New Roman" w:cs="Times New Roman" w:eastAsia="Times New Roman" w:hAnsi="Times New Roman"/>
          <w:sz w:val="24"/>
          <w:szCs w:val="24"/>
          <w:highlight w:val="white"/>
        </w:rPr>
      </w:pPr>
      <w:hyperlink r:id="rId20">
        <w:r w:rsidDel="00000000" w:rsidR="00000000" w:rsidRPr="00000000">
          <w:rPr>
            <w:rFonts w:ascii="Times New Roman" w:cs="Times New Roman" w:eastAsia="Times New Roman" w:hAnsi="Times New Roman"/>
            <w:sz w:val="24"/>
            <w:szCs w:val="24"/>
            <w:rtl w:val="0"/>
          </w:rPr>
          <w:t xml:space="preserve">Kretzschmar, Mark, and Anastasia Salter. “Party Ghosts and Queer Teen Wolves: Monster Prom and Resisting Heteronormativity in Dating Simulators.” </w:t>
        </w:r>
      </w:hyperlink>
      <w:hyperlink r:id="rId21">
        <w:r w:rsidDel="00000000" w:rsidR="00000000" w:rsidRPr="00000000">
          <w:rPr>
            <w:rFonts w:ascii="Times New Roman" w:cs="Times New Roman" w:eastAsia="Times New Roman" w:hAnsi="Times New Roman"/>
            <w:i w:val="1"/>
            <w:sz w:val="24"/>
            <w:szCs w:val="24"/>
            <w:rtl w:val="0"/>
          </w:rPr>
          <w:t xml:space="preserve">Proceedings of the 15th International Conference on the Foundations of Digital Games</w:t>
        </w:r>
      </w:hyperlink>
      <w:hyperlink r:id="rId22">
        <w:r w:rsidDel="00000000" w:rsidR="00000000" w:rsidRPr="00000000">
          <w:rPr>
            <w:rFonts w:ascii="Times New Roman" w:cs="Times New Roman" w:eastAsia="Times New Roman" w:hAnsi="Times New Roman"/>
            <w:sz w:val="24"/>
            <w:szCs w:val="24"/>
            <w:rtl w:val="0"/>
          </w:rPr>
          <w:t xml:space="preserve">, Association for Computing Machinery, 2020, pp. 1–8. </w:t>
        </w:r>
      </w:hyperlink>
      <w:hyperlink r:id="rId23">
        <w:r w:rsidDel="00000000" w:rsidR="00000000" w:rsidRPr="00000000">
          <w:rPr>
            <w:rFonts w:ascii="Times New Roman" w:cs="Times New Roman" w:eastAsia="Times New Roman" w:hAnsi="Times New Roman"/>
            <w:i w:val="1"/>
            <w:sz w:val="24"/>
            <w:szCs w:val="24"/>
            <w:rtl w:val="0"/>
          </w:rPr>
          <w:t xml:space="preserve">ACM Digital Library</w:t>
        </w:r>
      </w:hyperlink>
      <w:hyperlink r:id="rId24">
        <w:r w:rsidDel="00000000" w:rsidR="00000000" w:rsidRPr="00000000">
          <w:rPr>
            <w:rFonts w:ascii="Times New Roman" w:cs="Times New Roman" w:eastAsia="Times New Roman" w:hAnsi="Times New Roman"/>
            <w:sz w:val="24"/>
            <w:szCs w:val="24"/>
            <w:rtl w:val="0"/>
          </w:rPr>
          <w:t xml:space="preserve">, https://doi.org/10.1145/3402942.3402975.</w:t>
        </w:r>
      </w:hyperlink>
      <w:r w:rsidDel="00000000" w:rsidR="00000000" w:rsidRPr="00000000">
        <w:rPr>
          <w:rtl w:val="0"/>
        </w:rPr>
      </w:r>
    </w:p>
    <w:p w:rsidR="00000000" w:rsidDel="00000000" w:rsidP="00000000" w:rsidRDefault="00000000" w:rsidRPr="00000000" w14:paraId="0000000C">
      <w:pPr>
        <w:widowControl w:val="0"/>
        <w:spacing w:line="240" w:lineRule="auto"/>
        <w:ind w:left="720"/>
        <w:rPr>
          <w:rFonts w:ascii="Times New Roman" w:cs="Times New Roman" w:eastAsia="Times New Roman" w:hAnsi="Times New Roman"/>
          <w:sz w:val="24"/>
          <w:szCs w:val="24"/>
          <w:highlight w:val="white"/>
        </w:rPr>
      </w:pPr>
      <w:hyperlink r:id="rId25">
        <w:r w:rsidDel="00000000" w:rsidR="00000000" w:rsidRPr="00000000">
          <w:rPr>
            <w:rFonts w:ascii="Times New Roman" w:cs="Times New Roman" w:eastAsia="Times New Roman" w:hAnsi="Times New Roman"/>
            <w:sz w:val="24"/>
            <w:szCs w:val="24"/>
            <w:rtl w:val="0"/>
          </w:rPr>
          <w:t xml:space="preserve">Salter, Anastasia, et al. “‘Just Because It’s Gay?’: Transgressive Design in Queer Coming of Age Visual Novels.” </w:t>
        </w:r>
      </w:hyperlink>
      <w:hyperlink r:id="rId26">
        <w:r w:rsidDel="00000000" w:rsidR="00000000" w:rsidRPr="00000000">
          <w:rPr>
            <w:rFonts w:ascii="Times New Roman" w:cs="Times New Roman" w:eastAsia="Times New Roman" w:hAnsi="Times New Roman"/>
            <w:i w:val="1"/>
            <w:sz w:val="24"/>
            <w:szCs w:val="24"/>
            <w:rtl w:val="0"/>
          </w:rPr>
          <w:t xml:space="preserve">Proceedings of the 13th International Conference on the Foundations of Digital Games</w:t>
        </w:r>
      </w:hyperlink>
      <w:hyperlink r:id="rId27">
        <w:r w:rsidDel="00000000" w:rsidR="00000000" w:rsidRPr="00000000">
          <w:rPr>
            <w:rFonts w:ascii="Times New Roman" w:cs="Times New Roman" w:eastAsia="Times New Roman" w:hAnsi="Times New Roman"/>
            <w:sz w:val="24"/>
            <w:szCs w:val="24"/>
            <w:rtl w:val="0"/>
          </w:rPr>
          <w:t xml:space="preserve">, Association for Computing Machinery, 2018, pp. 1–9. </w:t>
        </w:r>
      </w:hyperlink>
      <w:hyperlink r:id="rId28">
        <w:r w:rsidDel="00000000" w:rsidR="00000000" w:rsidRPr="00000000">
          <w:rPr>
            <w:rFonts w:ascii="Times New Roman" w:cs="Times New Roman" w:eastAsia="Times New Roman" w:hAnsi="Times New Roman"/>
            <w:i w:val="1"/>
            <w:sz w:val="24"/>
            <w:szCs w:val="24"/>
            <w:rtl w:val="0"/>
          </w:rPr>
          <w:t xml:space="preserve">ACM Digital Library</w:t>
        </w:r>
      </w:hyperlink>
      <w:hyperlink r:id="rId29">
        <w:r w:rsidDel="00000000" w:rsidR="00000000" w:rsidRPr="00000000">
          <w:rPr>
            <w:rFonts w:ascii="Times New Roman" w:cs="Times New Roman" w:eastAsia="Times New Roman" w:hAnsi="Times New Roman"/>
            <w:sz w:val="24"/>
            <w:szCs w:val="24"/>
            <w:rtl w:val="0"/>
          </w:rPr>
          <w:t xml:space="preserve">, https://doi.org/10.1145/3235765.3235778.</w:t>
        </w:r>
      </w:hyperlink>
      <w:r w:rsidDel="00000000" w:rsidR="00000000" w:rsidRPr="00000000">
        <w:rPr>
          <w:rtl w:val="0"/>
        </w:rPr>
      </w:r>
    </w:p>
    <w:p w:rsidR="00000000" w:rsidDel="00000000" w:rsidP="00000000" w:rsidRDefault="00000000" w:rsidRPr="00000000" w14:paraId="0000000D">
      <w:pPr>
        <w:widowControl w:val="0"/>
        <w:spacing w:line="240" w:lineRule="auto"/>
        <w:ind w:left="720"/>
        <w:rPr>
          <w:rFonts w:ascii="Times New Roman" w:cs="Times New Roman" w:eastAsia="Times New Roman" w:hAnsi="Times New Roman"/>
          <w:sz w:val="24"/>
          <w:szCs w:val="24"/>
          <w:highlight w:val="white"/>
        </w:rPr>
      </w:pPr>
      <w:hyperlink r:id="rId30">
        <w:r w:rsidDel="00000000" w:rsidR="00000000" w:rsidRPr="00000000">
          <w:rPr>
            <w:rFonts w:ascii="Times New Roman" w:cs="Times New Roman" w:eastAsia="Times New Roman" w:hAnsi="Times New Roman"/>
            <w:sz w:val="24"/>
            <w:szCs w:val="24"/>
            <w:rtl w:val="0"/>
          </w:rPr>
          <w:t xml:space="preserve">Sullivan, Anne, et al. “The Constraints of Cozy Games: Boyfriend Dungeon and Consent in Queer Play: Boyfriend Dungeon and Consent in Queer Play.” </w:t>
        </w:r>
      </w:hyperlink>
      <w:hyperlink r:id="rId31">
        <w:r w:rsidDel="00000000" w:rsidR="00000000" w:rsidRPr="00000000">
          <w:rPr>
            <w:rFonts w:ascii="Times New Roman" w:cs="Times New Roman" w:eastAsia="Times New Roman" w:hAnsi="Times New Roman"/>
            <w:i w:val="1"/>
            <w:sz w:val="24"/>
            <w:szCs w:val="24"/>
            <w:rtl w:val="0"/>
          </w:rPr>
          <w:t xml:space="preserve">Proceedings of the 18th International Conference on the Foundations of Digital Games</w:t>
        </w:r>
      </w:hyperlink>
      <w:hyperlink r:id="rId32">
        <w:r w:rsidDel="00000000" w:rsidR="00000000" w:rsidRPr="00000000">
          <w:rPr>
            <w:rFonts w:ascii="Times New Roman" w:cs="Times New Roman" w:eastAsia="Times New Roman" w:hAnsi="Times New Roman"/>
            <w:sz w:val="24"/>
            <w:szCs w:val="24"/>
            <w:rtl w:val="0"/>
          </w:rPr>
          <w:t xml:space="preserve">, Association for Computing Machinery, 2023, pp. 1–9. </w:t>
        </w:r>
      </w:hyperlink>
      <w:hyperlink r:id="rId33">
        <w:r w:rsidDel="00000000" w:rsidR="00000000" w:rsidRPr="00000000">
          <w:rPr>
            <w:rFonts w:ascii="Times New Roman" w:cs="Times New Roman" w:eastAsia="Times New Roman" w:hAnsi="Times New Roman"/>
            <w:i w:val="1"/>
            <w:sz w:val="24"/>
            <w:szCs w:val="24"/>
            <w:rtl w:val="0"/>
          </w:rPr>
          <w:t xml:space="preserve">ACM Digital Library</w:t>
        </w:r>
      </w:hyperlink>
      <w:hyperlink r:id="rId34">
        <w:r w:rsidDel="00000000" w:rsidR="00000000" w:rsidRPr="00000000">
          <w:rPr>
            <w:rFonts w:ascii="Times New Roman" w:cs="Times New Roman" w:eastAsia="Times New Roman" w:hAnsi="Times New Roman"/>
            <w:sz w:val="24"/>
            <w:szCs w:val="24"/>
            <w:rtl w:val="0"/>
          </w:rPr>
          <w:t xml:space="preserve">, </w:t>
        </w:r>
      </w:hyperlink>
      <w:hyperlink r:id="rId35">
        <w:r w:rsidDel="00000000" w:rsidR="00000000" w:rsidRPr="00000000">
          <w:rPr>
            <w:rFonts w:ascii="Times New Roman" w:cs="Times New Roman" w:eastAsia="Times New Roman" w:hAnsi="Times New Roman"/>
            <w:sz w:val="24"/>
            <w:szCs w:val="24"/>
            <w:u w:val="single"/>
            <w:rtl w:val="0"/>
          </w:rPr>
          <w:t xml:space="preserve">https://doi.org/10.1145/3582437.3582452</w:t>
        </w:r>
      </w:hyperlink>
      <w:hyperlink r:id="rId36">
        <w:r w:rsidDel="00000000" w:rsidR="00000000" w:rsidRPr="00000000">
          <w:rPr>
            <w:rFonts w:ascii="Times New Roman" w:cs="Times New Roman" w:eastAsia="Times New Roman" w:hAnsi="Times New Roman"/>
            <w:sz w:val="24"/>
            <w:szCs w:val="24"/>
            <w:rtl w:val="0"/>
          </w:rPr>
          <w:t xml:space="preserve">.</w:t>
        </w:r>
      </w:hyperlink>
      <w:r w:rsidDel="00000000" w:rsidR="00000000" w:rsidRPr="00000000">
        <w:rPr>
          <w:rtl w:val="0"/>
        </w:rPr>
      </w:r>
    </w:p>
    <w:p w:rsidR="00000000" w:rsidDel="00000000" w:rsidP="00000000" w:rsidRDefault="00000000" w:rsidRPr="00000000" w14:paraId="0000000E">
      <w:pPr>
        <w:widowControl w:val="0"/>
        <w:spacing w:line="240" w:lineRule="auto"/>
        <w:ind w:left="72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F">
      <w:pPr>
        <w:widowControl w:val="0"/>
        <w:spacing w:line="480" w:lineRule="auto"/>
        <w:ind w:left="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First, the Ho (2022) piece appears to be an excellent primer moving forward for determining the  scope of this project in terms of precisely how many examples (and which examples) of queer indie games to cite for analysis in addition to </w:t>
      </w:r>
      <w:r w:rsidDel="00000000" w:rsidR="00000000" w:rsidRPr="00000000">
        <w:rPr>
          <w:rFonts w:ascii="Times New Roman" w:cs="Times New Roman" w:eastAsia="Times New Roman" w:hAnsi="Times New Roman"/>
          <w:i w:val="1"/>
          <w:sz w:val="24"/>
          <w:szCs w:val="24"/>
          <w:highlight w:val="white"/>
          <w:rtl w:val="0"/>
        </w:rPr>
        <w:t xml:space="preserve">Queers in Love at the End of the Universe</w:t>
      </w:r>
      <w:r w:rsidDel="00000000" w:rsidR="00000000" w:rsidRPr="00000000">
        <w:rPr>
          <w:rFonts w:ascii="Times New Roman" w:cs="Times New Roman" w:eastAsia="Times New Roman" w:hAnsi="Times New Roman"/>
          <w:sz w:val="24"/>
          <w:szCs w:val="24"/>
          <w:highlight w:val="white"/>
          <w:rtl w:val="0"/>
        </w:rPr>
        <w:t xml:space="preserve">. My intentions for including the Sullivan et al (2023), Salter et al (2018), and Kretzschmar and Salter (2020) piece is to strengthen the project’s focus on queer rhetorics in indie games, particularly when it comes to evaluating rhetorical notions of heteronormativity and consent. In a similar vein, the Kretzschmar and Raffel (2023) book will be included to strengthen discussion of visual novels like Butterfly Soup and other projects created with RenPy. Last, the Beare and Stone (2021) piece on UX will likely not have direct applications to the specific lenses that I am applying here, however, I have saved it to Zotero specifically because in the future, once I have completed this project regarding queer rhetorics, I’d like to come back to examining these same games through the lens of interfaces and code.   </w:t>
      </w:r>
    </w:p>
    <w:p w:rsidR="00000000" w:rsidDel="00000000" w:rsidP="00000000" w:rsidRDefault="00000000" w:rsidRPr="00000000" w14:paraId="00000010">
      <w:pPr>
        <w:widowControl w:val="0"/>
        <w:spacing w:line="480" w:lineRule="auto"/>
        <w:ind w:left="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Thank you again for your support, patience, and ever-useful feedback. </w:t>
      </w:r>
    </w:p>
    <w:p w:rsidR="00000000" w:rsidDel="00000000" w:rsidP="00000000" w:rsidRDefault="00000000" w:rsidRPr="00000000" w14:paraId="00000011">
      <w:pPr>
        <w:widowControl w:val="0"/>
        <w:spacing w:line="48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Sincerely, </w:t>
      </w:r>
    </w:p>
    <w:p w:rsidR="00000000" w:rsidDel="00000000" w:rsidP="00000000" w:rsidRDefault="00000000" w:rsidRPr="00000000" w14:paraId="00000012">
      <w:pPr>
        <w:widowControl w:val="0"/>
        <w:spacing w:line="48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Vee Kennedy</w:t>
      </w:r>
    </w:p>
    <w:p w:rsidR="00000000" w:rsidDel="00000000" w:rsidP="00000000" w:rsidRDefault="00000000" w:rsidRPr="00000000" w14:paraId="00000013">
      <w:pPr>
        <w:widowControl w:val="0"/>
        <w:spacing w:line="48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4">
      <w:pPr>
        <w:widowControl w:val="0"/>
        <w:spacing w:line="480" w:lineRule="auto"/>
        <w:ind w:left="0" w:firstLine="0"/>
        <w:rPr>
          <w:color w:val="444444"/>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tl w:val="0"/>
        </w:rPr>
      </w:r>
    </w:p>
    <w:sectPr>
      <w:headerReference r:id="rId3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019">
      <w:pPr>
        <w:spacing w:line="24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I would, of course, never actually put a note like that in an actual letter to an editor, but because Buddhist temple experience is one off the wall life factoid we both happen to share, I added it here. I have no idea what I did to accumulate such karmic consequences, but alas, the universe has spoken, and if I don’t laugh about it, I’ll cry about it.   </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Vee Kennedy</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12/8/2023</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 6436</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Salter</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zotero.org/google-docs/?zgBY2d" TargetMode="External"/><Relationship Id="rId22" Type="http://schemas.openxmlformats.org/officeDocument/2006/relationships/hyperlink" Target="https://www.zotero.org/google-docs/?zgBY2d" TargetMode="External"/><Relationship Id="rId21" Type="http://schemas.openxmlformats.org/officeDocument/2006/relationships/hyperlink" Target="https://www.zotero.org/google-docs/?zgBY2d" TargetMode="External"/><Relationship Id="rId24" Type="http://schemas.openxmlformats.org/officeDocument/2006/relationships/hyperlink" Target="https://www.zotero.org/google-docs/?zgBY2d" TargetMode="External"/><Relationship Id="rId23" Type="http://schemas.openxmlformats.org/officeDocument/2006/relationships/hyperlink" Target="https://www.zotero.org/google-docs/?zgBY2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zotero.org/google-docs/?zgBY2d" TargetMode="External"/><Relationship Id="rId26" Type="http://schemas.openxmlformats.org/officeDocument/2006/relationships/hyperlink" Target="https://www.zotero.org/google-docs/?zgBY2d" TargetMode="External"/><Relationship Id="rId25" Type="http://schemas.openxmlformats.org/officeDocument/2006/relationships/hyperlink" Target="https://www.zotero.org/google-docs/?zgBY2d" TargetMode="External"/><Relationship Id="rId28" Type="http://schemas.openxmlformats.org/officeDocument/2006/relationships/hyperlink" Target="https://www.zotero.org/google-docs/?zgBY2d" TargetMode="External"/><Relationship Id="rId27" Type="http://schemas.openxmlformats.org/officeDocument/2006/relationships/hyperlink" Target="https://www.zotero.org/google-docs/?zgBY2d"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www.zotero.org/google-docs/?zgBY2d" TargetMode="External"/><Relationship Id="rId7" Type="http://schemas.openxmlformats.org/officeDocument/2006/relationships/hyperlink" Target="https://www.zotero.org/google-docs/?zgBY2d" TargetMode="External"/><Relationship Id="rId8" Type="http://schemas.openxmlformats.org/officeDocument/2006/relationships/hyperlink" Target="https://www.zotero.org/google-docs/?zgBY2d" TargetMode="External"/><Relationship Id="rId31" Type="http://schemas.openxmlformats.org/officeDocument/2006/relationships/hyperlink" Target="https://www.zotero.org/google-docs/?zgBY2d" TargetMode="External"/><Relationship Id="rId30" Type="http://schemas.openxmlformats.org/officeDocument/2006/relationships/hyperlink" Target="https://www.zotero.org/google-docs/?zgBY2d" TargetMode="External"/><Relationship Id="rId11" Type="http://schemas.openxmlformats.org/officeDocument/2006/relationships/hyperlink" Target="https://www.zotero.org/google-docs/?zgBY2d" TargetMode="External"/><Relationship Id="rId33" Type="http://schemas.openxmlformats.org/officeDocument/2006/relationships/hyperlink" Target="https://www.zotero.org/google-docs/?zgBY2d" TargetMode="External"/><Relationship Id="rId10" Type="http://schemas.openxmlformats.org/officeDocument/2006/relationships/hyperlink" Target="https://www.zotero.org/google-docs/?zgBY2d" TargetMode="External"/><Relationship Id="rId32" Type="http://schemas.openxmlformats.org/officeDocument/2006/relationships/hyperlink" Target="https://www.zotero.org/google-docs/?zgBY2d" TargetMode="External"/><Relationship Id="rId13" Type="http://schemas.openxmlformats.org/officeDocument/2006/relationships/hyperlink" Target="https://www.zotero.org/google-docs/?zgBY2d" TargetMode="External"/><Relationship Id="rId35" Type="http://schemas.openxmlformats.org/officeDocument/2006/relationships/hyperlink" Target="https://doi.org/10.1145/3582437.3582452" TargetMode="External"/><Relationship Id="rId12" Type="http://schemas.openxmlformats.org/officeDocument/2006/relationships/hyperlink" Target="https://www.zotero.org/google-docs/?zgBY2d" TargetMode="External"/><Relationship Id="rId34" Type="http://schemas.openxmlformats.org/officeDocument/2006/relationships/hyperlink" Target="https://www.zotero.org/google-docs/?zgBY2d" TargetMode="External"/><Relationship Id="rId15" Type="http://schemas.openxmlformats.org/officeDocument/2006/relationships/hyperlink" Target="https://www.zotero.org/google-docs/?zgBY2d" TargetMode="External"/><Relationship Id="rId37" Type="http://schemas.openxmlformats.org/officeDocument/2006/relationships/header" Target="header1.xml"/><Relationship Id="rId14" Type="http://schemas.openxmlformats.org/officeDocument/2006/relationships/hyperlink" Target="https://www.zotero.org/google-docs/?zgBY2d" TargetMode="External"/><Relationship Id="rId36" Type="http://schemas.openxmlformats.org/officeDocument/2006/relationships/hyperlink" Target="https://www.zotero.org/google-docs/?zgBY2d" TargetMode="External"/><Relationship Id="rId17" Type="http://schemas.openxmlformats.org/officeDocument/2006/relationships/hyperlink" Target="https://www.zotero.org/google-docs/?zgBY2d" TargetMode="External"/><Relationship Id="rId16" Type="http://schemas.openxmlformats.org/officeDocument/2006/relationships/hyperlink" Target="https://www.zotero.org/google-docs/?zgBY2d" TargetMode="External"/><Relationship Id="rId19" Type="http://schemas.openxmlformats.org/officeDocument/2006/relationships/hyperlink" Target="https://www.zotero.org/google-docs/?zgBY2d" TargetMode="External"/><Relationship Id="rId18" Type="http://schemas.openxmlformats.org/officeDocument/2006/relationships/hyperlink" Target="https://www.zotero.org/google-docs/?zgBY2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