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What Editors Do Intro</w:t>
      </w:r>
    </w:p>
    <w:p w:rsidR="00000000" w:rsidDel="00000000" w:rsidP="00000000" w:rsidRDefault="00000000" w:rsidRPr="00000000" w14:paraId="00000002">
      <w:pPr>
        <w:rPr/>
      </w:pPr>
      <w:r w:rsidDel="00000000" w:rsidR="00000000" w:rsidRPr="00000000">
        <w:rPr>
          <w:rtl w:val="0"/>
        </w:rPr>
        <w:t xml:space="preserve">“The editor, then, is a connector--a conduit from writer to reader--but also a translator, improving communication from each to the other,”(pg3).</w:t>
      </w:r>
    </w:p>
    <w:p w:rsidR="00000000" w:rsidDel="00000000" w:rsidP="00000000" w:rsidRDefault="00000000" w:rsidRPr="00000000" w14:paraId="00000003">
      <w:pPr>
        <w:rPr/>
      </w:pPr>
      <w:r w:rsidDel="00000000" w:rsidR="00000000" w:rsidRPr="00000000">
        <w:rPr>
          <w:rtl w:val="0"/>
        </w:rPr>
        <w:t xml:space="preserve">Pg. 7 nod to self publishing success in genre fic</w:t>
      </w:r>
    </w:p>
    <w:p w:rsidR="00000000" w:rsidDel="00000000" w:rsidP="00000000" w:rsidRDefault="00000000" w:rsidRPr="00000000" w14:paraId="00000004">
      <w:pPr>
        <w:rPr/>
      </w:pPr>
      <w:r w:rsidDel="00000000" w:rsidR="00000000" w:rsidRPr="00000000">
        <w:rPr>
          <w:rtl w:val="0"/>
        </w:rPr>
        <w:t xml:space="preserve">Pg.11 lack of diversity + lily whiteness of publishing </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Technical Editing Ch.1 - “Editing: the Big Picture” </w:t>
      </w:r>
    </w:p>
    <w:p w:rsidR="00000000" w:rsidDel="00000000" w:rsidP="00000000" w:rsidRDefault="00000000" w:rsidRPr="00000000" w14:paraId="00000007">
      <w:pPr>
        <w:rPr>
          <w:b w:val="1"/>
        </w:rPr>
      </w:pPr>
      <w:r w:rsidDel="00000000" w:rsidR="00000000" w:rsidRPr="00000000">
        <w:rPr>
          <w:b w:val="1"/>
          <w:rtl w:val="0"/>
        </w:rPr>
        <w:t xml:space="preserve">Two paths: full-time and freelance</w:t>
      </w:r>
    </w:p>
    <w:p w:rsidR="00000000" w:rsidDel="00000000" w:rsidP="00000000" w:rsidRDefault="00000000" w:rsidRPr="00000000" w14:paraId="00000008">
      <w:pPr>
        <w:rPr/>
      </w:pPr>
      <w:r w:rsidDel="00000000" w:rsidR="00000000" w:rsidRPr="00000000">
        <w:rPr>
          <w:rtl w:val="0"/>
        </w:rPr>
        <w:t xml:space="preserve">Skills: reader expert, communication expert, language expert, dealing tactfully with writers, manage projects, aren’t afraid of technical information, double-checking their instincts,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Prompt Part II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dove a bit into my perceptions of editing in the last post but, I’ll add a bit more here as I answer the second part of the prompt. I’d say that most of my preconceptions were correct, at least in as much as the publishing process and an editor’s place in terms of fiction acquisitions. I was also spot on regarding the overall immense depth of duties that editors have. I did greatly appreciate that the Ginna reading made reference to the overwhelming lack of diversity and the “lily-whiteness,” of publishing as being particularly unfriendly to people of color and many other marginalized or multimarginalized folks as well. I’ve actually had that experience in terms of why I opted to self-publish some of my work featuring nonbinary and trans protagonists. I once got rather far with an agent, for example, who effectively backed out because the work I had submitted was written in a third limited and featured a nonbinary protagonist who used they/them pronouns. Due to the point of view, this pronoun use was effectively on every page of the book and, while the agent quite liked the premise and the work and felt it was otherwise ready to submit, asked me to, effectively, detransition the character so it would read easier for editors and a YA audience who were not as familiar with singular they/them. I thought this was particularly amusing given that based on the most recent statistics we have from the Trevor Project regarding LGBT Youth and who identifies as nonbinary, YA readers likely need less support with singular they than other age groups. Of course, I refused to make those changes, and to this day I remain a self-published-only author. Perhaps that will one day change (I am quite open to working with more traditional publishers!). I’m glad that self and alternative forms of publishing were not written of in a negative manner in the Ginna text. I recall once upon a time there being a certain ire about self-publishing, particularly when it came to the successes of books like </w:t>
      </w:r>
      <w:r w:rsidDel="00000000" w:rsidR="00000000" w:rsidRPr="00000000">
        <w:rPr>
          <w:i w:val="1"/>
          <w:rtl w:val="0"/>
        </w:rPr>
        <w:t xml:space="preserve">Twilight</w:t>
      </w:r>
      <w:r w:rsidDel="00000000" w:rsidR="00000000" w:rsidRPr="00000000">
        <w:rPr>
          <w:rtl w:val="0"/>
        </w:rPr>
        <w:t xml:space="preserve"> or </w:t>
      </w:r>
      <w:r w:rsidDel="00000000" w:rsidR="00000000" w:rsidRPr="00000000">
        <w:rPr>
          <w:i w:val="1"/>
          <w:rtl w:val="0"/>
        </w:rPr>
        <w:t xml:space="preserve">Fifty Shades of Grey</w:t>
      </w:r>
      <w:r w:rsidDel="00000000" w:rsidR="00000000" w:rsidRPr="00000000">
        <w:rPr>
          <w:rtl w:val="0"/>
        </w:rPr>
        <w:t xml:space="preserve"> which, whether you love them or hate them, were obviously rather successful at connecting with their audiences for one reason or another.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terms of my strengths, Rude and Eaton state that technical editors need expertise in reading, communication, and language, as well as additional matters like dealing tactfully with writers, managing projects competently, prowess with technical information, and comfort with double-checking their instincts (pg.12-13). In my earlier post, I mentioned that in terms of fiction, I feel most comfortable with developmental editing (a term which Ginna also uses, and which is consistent with what I was going for), although I’d add the caveat that I’d say this most concretely about the genres that I read and write in widely as opposed to all fiction in general.</w:t>
      </w:r>
    </w:p>
    <w:p w:rsidR="00000000" w:rsidDel="00000000" w:rsidP="00000000" w:rsidRDefault="00000000" w:rsidRPr="00000000" w14:paraId="0000000F">
      <w:pPr>
        <w:rPr/>
      </w:pPr>
      <w:r w:rsidDel="00000000" w:rsidR="00000000" w:rsidRPr="00000000">
        <w:rPr>
          <w:rtl w:val="0"/>
        </w:rPr>
        <w:t xml:space="preserve">In Rude and Eaton’s blurb about reader expertise, they mention an example of an engineering professor who may struggle with grant writing because she may need to explain engineering concepts to an audience of non-engineers (pg.12). For me, one weakness may be a general lack of awareness and understanding of technical jargon, if I were to attempt this sort of technical writing and editing. I actually did have an internship once where I worked with an engineering firm as their Social Media Intern. I’m still not entirely sure what the Internet of Things is all these years later.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Grant-Davie Rhetorical Situations and their Constituents: </w:t>
      </w:r>
    </w:p>
    <w:p w:rsidR="00000000" w:rsidDel="00000000" w:rsidP="00000000" w:rsidRDefault="00000000" w:rsidRPr="00000000" w14:paraId="00000012">
      <w:pPr>
        <w:rPr/>
      </w:pPr>
      <w:r w:rsidDel="00000000" w:rsidR="00000000" w:rsidRPr="00000000">
        <w:rPr>
          <w:rtl w:val="0"/>
        </w:rPr>
        <w:t xml:space="preserve">“I propose three amendments. First, I believe exigence, as</w:t>
      </w:r>
    </w:p>
    <w:p w:rsidR="00000000" w:rsidDel="00000000" w:rsidP="00000000" w:rsidRDefault="00000000" w:rsidRPr="00000000" w14:paraId="00000013">
      <w:pPr>
        <w:rPr/>
      </w:pPr>
      <w:r w:rsidDel="00000000" w:rsidR="00000000" w:rsidRPr="00000000">
        <w:rPr>
          <w:rtl w:val="0"/>
        </w:rPr>
        <w:t xml:space="preserve">the motivating force behind a discourse, demands a more comprehensive</w:t>
      </w:r>
    </w:p>
    <w:p w:rsidR="00000000" w:rsidDel="00000000" w:rsidP="00000000" w:rsidRDefault="00000000" w:rsidRPr="00000000" w14:paraId="00000014">
      <w:pPr>
        <w:rPr/>
      </w:pPr>
      <w:r w:rsidDel="00000000" w:rsidR="00000000" w:rsidRPr="00000000">
        <w:rPr>
          <w:rtl w:val="0"/>
        </w:rPr>
        <w:t xml:space="preserve">analysis. Second, I think we need to recognize that rhetors are as much a part</w:t>
      </w:r>
    </w:p>
    <w:p w:rsidR="00000000" w:rsidDel="00000000" w:rsidP="00000000" w:rsidRDefault="00000000" w:rsidRPr="00000000" w14:paraId="00000015">
      <w:pPr>
        <w:rPr/>
      </w:pPr>
      <w:r w:rsidDel="00000000" w:rsidR="00000000" w:rsidRPr="00000000">
        <w:rPr>
          <w:rtl w:val="0"/>
        </w:rPr>
        <w:t xml:space="preserve">of a rhetorical situation as the audience is. Bitzer mentions in passing that</w:t>
      </w:r>
    </w:p>
    <w:p w:rsidR="00000000" w:rsidDel="00000000" w:rsidP="00000000" w:rsidRDefault="00000000" w:rsidRPr="00000000" w14:paraId="00000016">
      <w:pPr>
        <w:rPr/>
      </w:pPr>
      <w:r w:rsidDel="00000000" w:rsidR="00000000" w:rsidRPr="00000000">
        <w:rPr>
          <w:rtl w:val="0"/>
        </w:rPr>
        <w:t xml:space="preserve">when a speech is made, both it and the rhetor become additional constituents of</w:t>
      </w:r>
    </w:p>
    <w:p w:rsidR="00000000" w:rsidDel="00000000" w:rsidP="00000000" w:rsidRDefault="00000000" w:rsidRPr="00000000" w14:paraId="00000017">
      <w:pPr>
        <w:rPr/>
      </w:pPr>
      <w:r w:rsidDel="00000000" w:rsidR="00000000" w:rsidRPr="00000000">
        <w:rPr>
          <w:rtl w:val="0"/>
        </w:rPr>
        <w:t xml:space="preserve">the situation (388), but he does not appear to include the rhetor in the situation</w:t>
      </w:r>
    </w:p>
    <w:p w:rsidR="00000000" w:rsidDel="00000000" w:rsidP="00000000" w:rsidRDefault="00000000" w:rsidRPr="00000000" w14:paraId="00000018">
      <w:pPr>
        <w:rPr/>
      </w:pPr>
      <w:r w:rsidDel="00000000" w:rsidR="00000000" w:rsidRPr="00000000">
        <w:rPr>
          <w:rtl w:val="0"/>
        </w:rPr>
        <w:t xml:space="preserve">that exists before the speech is made. And third, we need to recognize that any</w:t>
      </w:r>
    </w:p>
    <w:p w:rsidR="00000000" w:rsidDel="00000000" w:rsidP="00000000" w:rsidRDefault="00000000" w:rsidRPr="00000000" w14:paraId="00000019">
      <w:pPr>
        <w:rPr/>
      </w:pPr>
      <w:r w:rsidDel="00000000" w:rsidR="00000000" w:rsidRPr="00000000">
        <w:rPr>
          <w:rtl w:val="0"/>
        </w:rPr>
        <w:t xml:space="preserve">of the constituents may be plural. Bitzer includes the possibility of multiple</w:t>
      </w:r>
    </w:p>
    <w:p w:rsidR="00000000" w:rsidDel="00000000" w:rsidP="00000000" w:rsidRDefault="00000000" w:rsidRPr="00000000" w14:paraId="0000001A">
      <w:pPr>
        <w:rPr/>
      </w:pPr>
      <w:r w:rsidDel="00000000" w:rsidR="00000000" w:rsidRPr="00000000">
        <w:rPr>
          <w:rtl w:val="0"/>
        </w:rPr>
        <w:t xml:space="preserve">exigences and constraints, but he seems to assume a solitary rhetor and a single</w:t>
      </w:r>
    </w:p>
    <w:p w:rsidR="00000000" w:rsidDel="00000000" w:rsidP="00000000" w:rsidRDefault="00000000" w:rsidRPr="00000000" w14:paraId="0000001B">
      <w:pPr>
        <w:rPr/>
      </w:pPr>
      <w:r w:rsidDel="00000000" w:rsidR="00000000" w:rsidRPr="00000000">
        <w:rPr>
          <w:rtl w:val="0"/>
        </w:rPr>
        <w:t xml:space="preserve">audience. In many rhetorical situations, there may be several rhetors, including</w:t>
      </w:r>
    </w:p>
    <w:p w:rsidR="00000000" w:rsidDel="00000000" w:rsidP="00000000" w:rsidRDefault="00000000" w:rsidRPr="00000000" w14:paraId="0000001C">
      <w:pPr>
        <w:rPr/>
      </w:pPr>
      <w:r w:rsidDel="00000000" w:rsidR="00000000" w:rsidRPr="00000000">
        <w:rPr>
          <w:rtl w:val="0"/>
        </w:rPr>
        <w:t xml:space="preserve">groups of people or institutions, and the discourse may address or encounter</w:t>
      </w:r>
    </w:p>
    <w:p w:rsidR="00000000" w:rsidDel="00000000" w:rsidP="00000000" w:rsidRDefault="00000000" w:rsidRPr="00000000" w14:paraId="0000001D">
      <w:pPr>
        <w:rPr/>
      </w:pPr>
      <w:r w:rsidDel="00000000" w:rsidR="00000000" w:rsidRPr="00000000">
        <w:rPr>
          <w:rtl w:val="0"/>
        </w:rPr>
        <w:t xml:space="preserve">several audiences with various purposes for reading. The often complex</w:t>
      </w:r>
    </w:p>
    <w:p w:rsidR="00000000" w:rsidDel="00000000" w:rsidP="00000000" w:rsidRDefault="00000000" w:rsidRPr="00000000" w14:paraId="0000001E">
      <w:pPr>
        <w:rPr/>
      </w:pPr>
      <w:r w:rsidDel="00000000" w:rsidR="00000000" w:rsidRPr="00000000">
        <w:rPr>
          <w:rtl w:val="0"/>
        </w:rPr>
        <w:t xml:space="preserve">interaction of these multiple rhetors and audiences should be considered. What</w:t>
      </w:r>
    </w:p>
    <w:p w:rsidR="00000000" w:rsidDel="00000000" w:rsidP="00000000" w:rsidRDefault="00000000" w:rsidRPr="00000000" w14:paraId="0000001F">
      <w:pPr>
        <w:rPr/>
      </w:pPr>
      <w:r w:rsidDel="00000000" w:rsidR="00000000" w:rsidRPr="00000000">
        <w:rPr>
          <w:rtl w:val="0"/>
        </w:rPr>
        <w:t xml:space="preserve">follows, then, are definitions and discussions of the four constituents I see in</w:t>
      </w:r>
    </w:p>
    <w:p w:rsidR="00000000" w:rsidDel="00000000" w:rsidP="00000000" w:rsidRDefault="00000000" w:rsidRPr="00000000" w14:paraId="00000020">
      <w:pPr>
        <w:rPr/>
      </w:pPr>
      <w:r w:rsidDel="00000000" w:rsidR="00000000" w:rsidRPr="00000000">
        <w:rPr>
          <w:rtl w:val="0"/>
        </w:rPr>
        <w:t xml:space="preserve">rhetorical situations: exigence, rhetors, audiences, and constraints.”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is interesting, I think, relating to the context of editing/editors as we've read in the first readings. I'm reminded of the Ginna reading and a quote I took down: "The editor, then, is a connector-</w:t>
      </w:r>
      <w:r w:rsidDel="00000000" w:rsidR="00000000" w:rsidRPr="00000000">
        <w:rPr>
          <w:rFonts w:ascii="Roboto" w:cs="Roboto" w:eastAsia="Roboto" w:hAnsi="Roboto"/>
          <w:strike w:val="1"/>
          <w:sz w:val="21"/>
          <w:szCs w:val="21"/>
          <w:highlight w:val="white"/>
          <w:rtl w:val="0"/>
        </w:rPr>
        <w:t xml:space="preserve">a conduit from writer to reader--but also a translator, improving communication from each to the other,”(pg 3). If it's the case that an editor can be this conduit, then they of course must have the language of both the audience and the rhetor (author) -</w:t>
      </w:r>
      <w:r w:rsidDel="00000000" w:rsidR="00000000" w:rsidRPr="00000000">
        <w:rPr>
          <w:rFonts w:ascii="Roboto" w:cs="Roboto" w:eastAsia="Roboto" w:hAnsi="Roboto"/>
          <w:sz w:val="21"/>
          <w:szCs w:val="21"/>
          <w:highlight w:val="white"/>
          <w:rtl w:val="0"/>
        </w:rPr>
        <w:t xml:space="preserve"> so, there's some understanding that both the editor and the author are in some way somehow part of or adjacent to the audience</w:t>
      </w:r>
    </w:p>
    <w:p w:rsidR="00000000" w:rsidDel="00000000" w:rsidP="00000000" w:rsidRDefault="00000000" w:rsidRPr="00000000" w14:paraId="0000002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Another editing / pitching memory just popped to mind -- so often in genre fiction, we see people (myself including) pitching these stories with these incredibly large stakes -- preventing an apocalypse, something of that sort -- I recall the last time I checked some editor and agent calls in my genre area after the pandemic, plenty of agents and editors more or less begging writers to submit happy, wholesome stories with low stakes, things like vampires or other immortals as archivists and librarians, werewolves running an old senior dog sanctuary, not because those big-stakes stories are bad or don't sell, but because of the world climate being what it was and COVID fatigue being what it was, there was a general feeling that all parts of the pipeline, editors, writers, agents, readers... everyone just wanted something cozy to sink into in lieu of anything that might remind them of the very real high stakes situation the pandemic put us in.</w:t>
      </w:r>
    </w:p>
    <w:p w:rsidR="00000000" w:rsidDel="00000000" w:rsidP="00000000" w:rsidRDefault="00000000" w:rsidRPr="00000000" w14:paraId="0000002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the original quotation I selected here was "Why is the discourse needed?" and I picked that out because, interestingly enough, pre-pandemic we were still seeing a lot of these big-stakes apocalypse stories responding to issues like climate change (which of course, is a much needed piece within discourse). But we were also seeing the intersection of folks' mental health and need to care for themselves and use literature as an escape, too.  So, just an interesting note as to how the need for discourse(s) can change.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I'm seeing a connection there to the ancient aspects of Aristotelian Rhetoric where, if I recall correctly, we had folks like Quintilian saying things like "rhetoric is a good man speaking well." At the time, my guess is that the onus was much more so on the rhetor as a 'good man' specifically because the constraints of the time meant that if a person had the social status to be producing oratory in a public space, they were almost assuredly of certain privileges. Bitzer and Vatz (and Grant-Davie, by extension) are of course looking at a much expanded definition of rhetorical utterances. I'd argue that it was always important to really look at the context of a rhetor as I have a lot of suspicion about the idea of a 'good man' in this quotation, but it's good to see folks like Grant-Davie here arguing for further exploration of the rhetor.  </w:t>
      </w:r>
    </w:p>
    <w:p w:rsidR="00000000" w:rsidDel="00000000" w:rsidP="00000000" w:rsidRDefault="00000000" w:rsidRPr="00000000" w14:paraId="00000029">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2A">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Audience as a rhetorical concept has transcended the idea of a homogenous</w:t>
      </w:r>
    </w:p>
    <w:p w:rsidR="00000000" w:rsidDel="00000000" w:rsidP="00000000" w:rsidRDefault="00000000" w:rsidRPr="00000000" w14:paraId="0000002B">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body of people who have stable characteristics and are assembled in the rhetor's</w:t>
      </w:r>
    </w:p>
    <w:p w:rsidR="00000000" w:rsidDel="00000000" w:rsidP="00000000" w:rsidRDefault="00000000" w:rsidRPr="00000000" w14:paraId="0000002C">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presence. A discourse may have primary and secondary audiences, audiences</w:t>
      </w:r>
    </w:p>
    <w:p w:rsidR="00000000" w:rsidDel="00000000" w:rsidP="00000000" w:rsidRDefault="00000000" w:rsidRPr="00000000" w14:paraId="0000002D">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that are present and those that have yet to form, audiences that act</w:t>
      </w:r>
    </w:p>
    <w:p w:rsidR="00000000" w:rsidDel="00000000" w:rsidP="00000000" w:rsidRDefault="00000000" w:rsidRPr="00000000" w14:paraId="0000002E">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collaboratively or as individuals, audiences about whom the rhetor knows little,</w:t>
      </w:r>
    </w:p>
    <w:p w:rsidR="00000000" w:rsidDel="00000000" w:rsidP="00000000" w:rsidRDefault="00000000" w:rsidRPr="00000000" w14:paraId="0000002F">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or audiences that exist only in the rhetor's mind. Chaïm Perelman and Lucie</w:t>
      </w:r>
    </w:p>
    <w:p w:rsidR="00000000" w:rsidDel="00000000" w:rsidP="00000000" w:rsidRDefault="00000000" w:rsidRPr="00000000" w14:paraId="00000030">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Olbrechts-Tyteca point out that unlike speakers, writers cannot be certain who</w:t>
      </w:r>
    </w:p>
    <w:p w:rsidR="00000000" w:rsidDel="00000000" w:rsidP="00000000" w:rsidRDefault="00000000" w:rsidRPr="00000000" w14:paraId="00000031">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their audiences are, and that rhetors often face "composite" audiences</w:t>
      </w:r>
    </w:p>
    <w:p w:rsidR="00000000" w:rsidDel="00000000" w:rsidP="00000000" w:rsidRDefault="00000000" w:rsidRPr="00000000" w14:paraId="00000032">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consisting either of several factions or of individuals who each represent several</w:t>
      </w:r>
    </w:p>
    <w:p w:rsidR="00000000" w:rsidDel="00000000" w:rsidP="00000000" w:rsidRDefault="00000000" w:rsidRPr="00000000" w14:paraId="00000033">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different groups (214-17).</w:t>
      </w:r>
    </w:p>
    <w:p w:rsidR="00000000" w:rsidDel="00000000" w:rsidP="00000000" w:rsidRDefault="00000000" w:rsidRPr="00000000" w14:paraId="00000034">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This is particularly fun to think about as technology has advanced. I doubt even Grant-Davie anticipated that a bunch of folks would be reading and annotating a .PDF of this 1997 publication asynchronously in the year 2023.</w:t>
      </w:r>
    </w:p>
    <w:p w:rsidR="00000000" w:rsidDel="00000000" w:rsidP="00000000" w:rsidRDefault="00000000" w:rsidRPr="00000000" w14:paraId="00000035">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36">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37">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So, if we prefer to use writing situation as a more</w:t>
      </w:r>
    </w:p>
    <w:p w:rsidR="00000000" w:rsidDel="00000000" w:rsidP="00000000" w:rsidRDefault="00000000" w:rsidRPr="00000000" w14:paraId="00000038">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accessible term than rhetorical situation when we teach (as some textbooks</w:t>
      </w:r>
    </w:p>
    <w:p w:rsidR="00000000" w:rsidDel="00000000" w:rsidP="00000000" w:rsidRDefault="00000000" w:rsidRPr="00000000" w14:paraId="00000039">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have—e.g., Pattow and Wresch 18-22; Reep 12-13), we should not neglect to</w:t>
      </w:r>
    </w:p>
    <w:p w:rsidR="00000000" w:rsidDel="00000000" w:rsidP="00000000" w:rsidRDefault="00000000" w:rsidRPr="00000000" w14:paraId="0000003A">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teach students also about "reading situations," which may have their own</w:t>
      </w:r>
    </w:p>
    <w:p w:rsidR="00000000" w:rsidDel="00000000" w:rsidP="00000000" w:rsidRDefault="00000000" w:rsidRPr="00000000" w14:paraId="0000003B">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exigences, roles, and constraints.</w:t>
      </w:r>
    </w:p>
    <w:p w:rsidR="00000000" w:rsidDel="00000000" w:rsidP="00000000" w:rsidRDefault="00000000" w:rsidRPr="00000000" w14:paraId="0000003C">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See, my take on this is that we should just be making sure that folks have a working understanding of the word 'rhetoric' beyond what it means on the news in this day and age so that we don't have to keep hiding the word rhetoric like it's the hidden cauliflower in a pizza. When NCTE's Guiding Principles for Teaching and Writing came out in 2018, I remember having the same reaction -- how are we talking so much about rhetoric without ever once saying the word rhetoric?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