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sz w:val="24"/>
          <w:szCs w:val="24"/>
          <w:highlight w:val="white"/>
        </w:rPr>
      </w:pPr>
      <w:r w:rsidDel="00000000" w:rsidR="00000000" w:rsidRPr="00000000">
        <w:rPr>
          <w:u w:val="single"/>
          <w:rtl w:val="0"/>
        </w:rPr>
        <w:t xml:space="preserve">Reading Response: Case Studies and Amin </w:t>
      </w:r>
      <w:r w:rsidDel="00000000" w:rsidR="00000000" w:rsidRPr="00000000">
        <w:rPr>
          <w:rtl w:val="0"/>
        </w:rPr>
      </w:r>
    </w:p>
    <w:p w:rsidR="00000000" w:rsidDel="00000000" w:rsidP="00000000" w:rsidRDefault="00000000" w:rsidRPr="00000000" w14:paraId="00000002">
      <w:pPr>
        <w:spacing w:line="240" w:lineRule="auto"/>
        <w:rPr>
          <w:sz w:val="24"/>
          <w:szCs w:val="24"/>
          <w:highlight w:val="white"/>
        </w:rPr>
      </w:pPr>
      <w:r w:rsidDel="00000000" w:rsidR="00000000" w:rsidRPr="00000000">
        <w:rPr>
          <w:rtl w:val="0"/>
        </w:rPr>
      </w:r>
    </w:p>
    <w:p w:rsidR="00000000" w:rsidDel="00000000" w:rsidP="00000000" w:rsidRDefault="00000000" w:rsidRPr="00000000" w14:paraId="00000003">
      <w:pPr>
        <w:spacing w:line="48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ab/>
        <w:t xml:space="preserve">Quite by accident, the content of Amin’s 2022 work </w:t>
      </w:r>
      <w:r w:rsidDel="00000000" w:rsidR="00000000" w:rsidRPr="00000000">
        <w:rPr>
          <w:rFonts w:ascii="Calibri" w:cs="Calibri" w:eastAsia="Calibri" w:hAnsi="Calibri"/>
          <w:i w:val="1"/>
          <w:sz w:val="24"/>
          <w:szCs w:val="24"/>
          <w:highlight w:val="white"/>
          <w:rtl w:val="0"/>
        </w:rPr>
        <w:t xml:space="preserve">We are All Nonbinary</w:t>
      </w:r>
      <w:r w:rsidDel="00000000" w:rsidR="00000000" w:rsidRPr="00000000">
        <w:rPr>
          <w:rFonts w:ascii="Calibri" w:cs="Calibri" w:eastAsia="Calibri" w:hAnsi="Calibri"/>
          <w:sz w:val="24"/>
          <w:szCs w:val="24"/>
          <w:highlight w:val="white"/>
          <w:rtl w:val="0"/>
        </w:rPr>
        <w:t xml:space="preserve"> has become the new impetus of what I will be working on for this project and has completely shifted my plan from working on a case study of the Matrix (1999) and the Matrix Ressurections (2021) to instead, an autoethnography of the positive social work nonbinary identity creates in my life in response to Amin’s claim that nonbinary identity is devoid of positive social content (Amin 117). I plan to instead repurpose The Matrix idea within Project 2 for a visual/spatial/rhetorical analysis later on, but for now, I will attempt to use autoethnography to capture why nonbinary identity is for many young queer people, particularly myself as a neurodivergent person, a useful and generative identity that is, in fact, socially relevant even when it is not accompanied by external presentations of queerness. </w:t>
      </w:r>
    </w:p>
    <w:p w:rsidR="00000000" w:rsidDel="00000000" w:rsidP="00000000" w:rsidRDefault="00000000" w:rsidRPr="00000000" w14:paraId="00000004">
      <w:pPr>
        <w:spacing w:line="480" w:lineRule="auto"/>
        <w:ind w:firstLine="72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Having never worked with autoethnography as a qualitative research method, I am particularly worried about the questions that Jackson and McKinney raise in their discussion of the pitfalls of autoethnography: </w:t>
      </w:r>
    </w:p>
    <w:p w:rsidR="00000000" w:rsidDel="00000000" w:rsidP="00000000" w:rsidRDefault="00000000" w:rsidRPr="00000000" w14:paraId="00000005">
      <w:pPr>
        <w:spacing w:line="240" w:lineRule="auto"/>
        <w:ind w:left="144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“Thus, autoethnography is open to the same critiques that have plagued teacher research: as the researcher and the subject of the research simultaneously, can the researcher pay attention well enough? Will the researcher control the scene and unfairly shape the story that emerges? (Jackson &amp; McKinney 12).</w:t>
      </w:r>
    </w:p>
    <w:p w:rsidR="00000000" w:rsidDel="00000000" w:rsidP="00000000" w:rsidRDefault="00000000" w:rsidRPr="00000000" w14:paraId="00000006">
      <w:pPr>
        <w:spacing w:line="240" w:lineRule="auto"/>
        <w:ind w:left="1440"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7">
      <w:pPr>
        <w:spacing w:line="480" w:lineRule="auto"/>
        <w:ind w:left="0" w:firstLine="72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 am also afraid in some ways of what the content of this autoethnography will arise. I am thinking of a particular memory, a recent happening, which I feel illustrates well the connection between the psychic work and social happenings related to nonbinary identity. It will probably be a bit difficult to write about, perhaps a bit triggering for myself, but I know it will be worth it. I am inspired a bit by Rainey’s structure in her autoethnography </w:t>
      </w:r>
      <w:r w:rsidDel="00000000" w:rsidR="00000000" w:rsidRPr="00000000">
        <w:rPr>
          <w:rFonts w:ascii="Calibri" w:cs="Calibri" w:eastAsia="Calibri" w:hAnsi="Calibri"/>
          <w:i w:val="1"/>
          <w:sz w:val="24"/>
          <w:szCs w:val="24"/>
          <w:highlight w:val="white"/>
          <w:rtl w:val="0"/>
        </w:rPr>
        <w:t xml:space="preserve">Her Own Voice: Coming Out in Academia With Bipolar Disorder</w:t>
      </w:r>
      <w:r w:rsidDel="00000000" w:rsidR="00000000" w:rsidRPr="00000000">
        <w:rPr>
          <w:rFonts w:ascii="Calibri" w:cs="Calibri" w:eastAsia="Calibri" w:hAnsi="Calibri"/>
          <w:sz w:val="24"/>
          <w:szCs w:val="24"/>
          <w:highlight w:val="white"/>
          <w:rtl w:val="0"/>
        </w:rPr>
        <w:t xml:space="preserve">, and her usage of short vignettes to show how her mental illness impacted her health and her work. While I don’t exactly have the time to focus on Rainey’s work as a coming out narrative, I also find it somewhat fascinating from the perspective of looking at queerness as well as mental health as subject positionalities which we must so often ‘come out’ about.      </w:t>
      </w:r>
    </w:p>
    <w:p w:rsidR="00000000" w:rsidDel="00000000" w:rsidP="00000000" w:rsidRDefault="00000000" w:rsidRPr="00000000" w14:paraId="00000008">
      <w:pPr>
        <w:spacing w:line="480" w:lineRule="auto"/>
        <w:ind w:left="0" w:firstLine="0"/>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09">
      <w:pPr>
        <w:spacing w:line="240" w:lineRule="auto"/>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0A">
      <w:pPr>
        <w:spacing w:line="240" w:lineRule="auto"/>
        <w:rPr>
          <w:color w:val="2d3b45"/>
          <w:sz w:val="24"/>
          <w:szCs w:val="24"/>
          <w:highlight w:val="white"/>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rPr/>
    </w:pPr>
    <w:r w:rsidDel="00000000" w:rsidR="00000000" w:rsidRPr="00000000">
      <w:rPr>
        <w:rtl w:val="0"/>
      </w:rPr>
      <w:t xml:space="preserve">Vee Kennedy</w:t>
    </w:r>
  </w:p>
  <w:p w:rsidR="00000000" w:rsidDel="00000000" w:rsidP="00000000" w:rsidRDefault="00000000" w:rsidRPr="00000000" w14:paraId="0000000C">
    <w:pPr>
      <w:rPr/>
    </w:pPr>
    <w:r w:rsidDel="00000000" w:rsidR="00000000" w:rsidRPr="00000000">
      <w:rPr>
        <w:rtl w:val="0"/>
      </w:rPr>
      <w:t xml:space="preserve">9/18/2022</w:t>
    </w:r>
  </w:p>
  <w:p w:rsidR="00000000" w:rsidDel="00000000" w:rsidP="00000000" w:rsidRDefault="00000000" w:rsidRPr="00000000" w14:paraId="0000000D">
    <w:pPr>
      <w:rPr/>
    </w:pPr>
    <w:r w:rsidDel="00000000" w:rsidR="00000000" w:rsidRPr="00000000">
      <w:rPr>
        <w:rtl w:val="0"/>
      </w:rPr>
      <w:t xml:space="preserve">ENC 6332 </w:t>
    </w:r>
  </w:p>
  <w:p w:rsidR="00000000" w:rsidDel="00000000" w:rsidP="00000000" w:rsidRDefault="00000000" w:rsidRPr="00000000" w14:paraId="0000000E">
    <w:pPr>
      <w:rPr/>
    </w:pPr>
    <w:r w:rsidDel="00000000" w:rsidR="00000000" w:rsidRPr="00000000">
      <w:rPr>
        <w:rtl w:val="0"/>
      </w:rPr>
      <w:t xml:space="preserve">Arellano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