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Reading Response 7: Women’s Composing </w:t>
      </w:r>
      <w:r w:rsidDel="00000000" w:rsidR="00000000" w:rsidRPr="00000000">
        <w:rPr>
          <w:rtl w:val="0"/>
        </w:rPr>
      </w:r>
    </w:p>
    <w:p w:rsidR="00000000" w:rsidDel="00000000" w:rsidP="00000000" w:rsidRDefault="00000000" w:rsidRPr="00000000" w14:paraId="00000002">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The Combahee River Collective was written in 1977 as a collective response from women. What was the exigence and purpose of their response?</w:t>
      </w:r>
    </w:p>
    <w:p w:rsidR="00000000" w:rsidDel="00000000" w:rsidP="00000000" w:rsidRDefault="00000000" w:rsidRPr="00000000" w14:paraId="00000003">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According to the reading, the Combahee River Collective was formed out of the black feminist connections to the second wave feminist movement and their erasure within the movement despite their participation. “Black, other Third World, and working women have been involved in the feminist movement from its start, but both outside reactionary forces and racism and elitism within the movement itself have served to obscure our participation. In 1973, Black feminists, primarily located in New York, felt the necessity of forming a separate Black feminist group. This became the National Black Feminist Organization (NBFO).”</w:t>
      </w:r>
    </w:p>
    <w:p w:rsidR="00000000" w:rsidDel="00000000" w:rsidP="00000000" w:rsidRDefault="00000000" w:rsidRPr="00000000" w14:paraId="00000004">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Do you think their grievances been addressed 45 years later? </w:t>
      </w:r>
    </w:p>
    <w:p w:rsidR="00000000" w:rsidDel="00000000" w:rsidP="00000000" w:rsidRDefault="00000000" w:rsidRPr="00000000" w14:paraId="00000005">
      <w:pPr>
        <w:shd w:fill="ffffff" w:val="clear"/>
        <w:spacing w:after="20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Unfortunately, I do not. The article states: “The most general statement of our politics at the present time would be that we are actively committed to struggling against racial, sexual, heterosexual, and class oppression, and see as our particular task the development of integrated analysis and practice based upon the fact that the major systems of oppression are interlocking. The synthesis of these oppressions creates the conditions of our lives.” Within the context of the BLM articles included with the Combahee River Collective and the general situation of police brutality in the United States, I still see a series of interlocking oppressions as issues for the feminist movement in the U.S.  </w:t>
      </w:r>
    </w:p>
    <w:p w:rsidR="00000000" w:rsidDel="00000000" w:rsidP="00000000" w:rsidRDefault="00000000" w:rsidRPr="00000000" w14:paraId="00000006">
      <w:pPr>
        <w:numPr>
          <w:ilvl w:val="0"/>
          <w:numId w:val="1"/>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do you think about the effectiveness of this written genre (the organization, diction, tone, and overall message)</w:t>
      </w:r>
    </w:p>
    <w:p w:rsidR="00000000" w:rsidDel="00000000" w:rsidP="00000000" w:rsidRDefault="00000000" w:rsidRPr="00000000" w14:paraId="00000007">
      <w:pPr>
        <w:shd w:fill="ffffff" w:val="clear"/>
        <w:spacing w:after="20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difficult question for me to answer because I think that overall, the rhetorical strategies of this piece are fantastic; I find it extremely compelling. That said, I know that despite how compelling this message is, the cries of this message have not yet been listened to by and large. Does that make it rhetorically ineffective? I’m unsure. </w:t>
      </w:r>
    </w:p>
    <w:p w:rsidR="00000000" w:rsidDel="00000000" w:rsidP="00000000" w:rsidRDefault="00000000" w:rsidRPr="00000000" w14:paraId="00000008">
      <w:pPr>
        <w:numPr>
          <w:ilvl w:val="0"/>
          <w:numId w:val="2"/>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In Maureen Goggin's chapter, what does she say is the value of studying something like women's needlework as a rhetorical practice?</w:t>
      </w:r>
    </w:p>
    <w:p w:rsidR="00000000" w:rsidDel="00000000" w:rsidP="00000000" w:rsidRDefault="00000000" w:rsidRPr="00000000" w14:paraId="00000009">
      <w:pPr>
        <w:shd w:fill="ffffff" w:val="clear"/>
        <w:spacing w:after="200" w:lineRule="auto"/>
        <w:rPr>
          <w:rFonts w:ascii="Calibri" w:cs="Calibri" w:eastAsia="Calibri" w:hAnsi="Calibri"/>
          <w:sz w:val="24"/>
          <w:szCs w:val="24"/>
          <w:shd w:fill="f2f2f2" w:val="clear"/>
        </w:rPr>
      </w:pPr>
      <w:r w:rsidDel="00000000" w:rsidR="00000000" w:rsidRPr="00000000">
        <w:rPr>
          <w:rFonts w:ascii="Calibri" w:cs="Calibri" w:eastAsia="Calibri" w:hAnsi="Calibri"/>
          <w:sz w:val="24"/>
          <w:szCs w:val="24"/>
          <w:rtl w:val="0"/>
        </w:rPr>
        <w:t xml:space="preserve">On page 88, Goggin states: “The continued bifurcation of visual and verbal aspects of rhetoric in subtle and sometimes not so subtle ways reifies the words-written-language as a measure against, and somewhat above, all other potential resources for representation and communication. Thus; it tends to blind us to theorizing and historicizing other kinds of semiotic resources and practices. As a result, the divide severely limits what counts and who counts in its production, performance and circulation.”</w:t>
      </w:r>
      <w:r w:rsidDel="00000000" w:rsidR="00000000" w:rsidRPr="00000000">
        <w:rPr>
          <w:rtl w:val="0"/>
        </w:rPr>
      </w:r>
    </w:p>
    <w:p w:rsidR="00000000" w:rsidDel="00000000" w:rsidP="00000000" w:rsidRDefault="00000000" w:rsidRPr="00000000" w14:paraId="0000000A">
      <w:pPr>
        <w:shd w:fill="ffffff" w:val="clear"/>
        <w:spacing w:after="0" w:lineRule="auto"/>
        <w:ind w:right="-17820"/>
        <w:rPr>
          <w:rFonts w:ascii="Calibri" w:cs="Calibri" w:eastAsia="Calibri" w:hAnsi="Calibri"/>
          <w:sz w:val="24"/>
          <w:szCs w:val="24"/>
          <w:shd w:fill="f2f2f2" w:val="clear"/>
        </w:rPr>
      </w:pPr>
      <w:r w:rsidDel="00000000" w:rsidR="00000000" w:rsidRPr="00000000">
        <w:rPr>
          <w:rtl w:val="0"/>
        </w:rPr>
      </w:r>
    </w:p>
    <w:p w:rsidR="00000000" w:rsidDel="00000000" w:rsidP="00000000" w:rsidRDefault="00000000" w:rsidRPr="00000000" w14:paraId="0000000B">
      <w:pPr>
        <w:shd w:fill="ffffff" w:val="clea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numPr>
          <w:ilvl w:val="0"/>
          <w:numId w:val="2"/>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As another response from women at a particular time and in a particular place, what was the exigence and purpose of their needlework? How did that change over time?</w:t>
      </w:r>
    </w:p>
    <w:p w:rsidR="00000000" w:rsidDel="00000000" w:rsidP="00000000" w:rsidRDefault="00000000" w:rsidRPr="00000000" w14:paraId="0000000D">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Goggin states: “Historically, needlework has offered an alternative rhetorical space to those who have been denied participation in dominant discourses by the virtue of their gender, class, ethnicity and race. A study of needlework, then, contributes to a richer, more robust understanding of rhetorical praxis and texts.” </w:t>
      </w:r>
    </w:p>
    <w:p w:rsidR="00000000" w:rsidDel="00000000" w:rsidP="00000000" w:rsidRDefault="00000000" w:rsidRPr="00000000" w14:paraId="0000000E">
      <w:pPr>
        <w:numPr>
          <w:ilvl w:val="0"/>
          <w:numId w:val="2"/>
        </w:numPr>
        <w:shd w:fill="ffffff" w:val="clear"/>
        <w:spacing w:after="200" w:lineRule="auto"/>
        <w:ind w:left="1100" w:hanging="360"/>
        <w:rPr>
          <w:rFonts w:ascii="Calibri" w:cs="Calibri" w:eastAsia="Calibri" w:hAnsi="Calibri"/>
          <w:color w:val="000000"/>
        </w:rPr>
      </w:pPr>
      <w:r w:rsidDel="00000000" w:rsidR="00000000" w:rsidRPr="00000000">
        <w:rPr>
          <w:rFonts w:ascii="Calibri" w:cs="Calibri" w:eastAsia="Calibri" w:hAnsi="Calibri"/>
          <w:sz w:val="24"/>
          <w:szCs w:val="24"/>
          <w:rtl w:val="0"/>
        </w:rPr>
        <w:t xml:space="preserve">What are other examples of seemingly gendered practices that could also be considered for their meaning-making possibilities?</w:t>
      </w:r>
    </w:p>
    <w:p w:rsidR="00000000" w:rsidDel="00000000" w:rsidP="00000000" w:rsidRDefault="00000000" w:rsidRPr="00000000" w14:paraId="0000000F">
      <w:pPr>
        <w:shd w:fill="ffffff" w:val="clea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initial reaction to this is that the possibilities are somewhat limitless. By the same logic that needlework can be examined for meaning making, as Goggin states, it seems as though other forms of visual art like pottery or ceramics could be examined as well, or perhaps cooking/recipes. </w:t>
      </w:r>
    </w:p>
    <w:p w:rsidR="00000000" w:rsidDel="00000000" w:rsidP="00000000" w:rsidRDefault="00000000" w:rsidRPr="00000000" w14:paraId="00000010">
      <w:pPr>
        <w:jc w:val="center"/>
        <w:rPr>
          <w:u w:val="singl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rPr/>
    </w:pPr>
    <w:r w:rsidDel="00000000" w:rsidR="00000000" w:rsidRPr="00000000">
      <w:rPr>
        <w:rtl w:val="0"/>
      </w:rPr>
      <w:t xml:space="preserve">Vee Kennedy</w:t>
    </w:r>
  </w:p>
  <w:p w:rsidR="00000000" w:rsidDel="00000000" w:rsidP="00000000" w:rsidRDefault="00000000" w:rsidRPr="00000000" w14:paraId="00000012">
    <w:pPr>
      <w:rPr/>
    </w:pPr>
    <w:r w:rsidDel="00000000" w:rsidR="00000000" w:rsidRPr="00000000">
      <w:rPr>
        <w:rtl w:val="0"/>
      </w:rPr>
      <w:t xml:space="preserve">10/30/2022</w:t>
    </w:r>
  </w:p>
  <w:p w:rsidR="00000000" w:rsidDel="00000000" w:rsidP="00000000" w:rsidRDefault="00000000" w:rsidRPr="00000000" w14:paraId="00000013">
    <w:pPr>
      <w:rPr/>
    </w:pPr>
    <w:r w:rsidDel="00000000" w:rsidR="00000000" w:rsidRPr="00000000">
      <w:rPr>
        <w:rtl w:val="0"/>
      </w:rPr>
      <w:t xml:space="preserve">Dr. Arellano</w:t>
    </w:r>
  </w:p>
  <w:p w:rsidR="00000000" w:rsidDel="00000000" w:rsidP="00000000" w:rsidRDefault="00000000" w:rsidRPr="00000000" w14:paraId="00000014">
    <w:pPr>
      <w:rPr/>
    </w:pPr>
    <w:r w:rsidDel="00000000" w:rsidR="00000000" w:rsidRPr="00000000">
      <w:rPr>
        <w:rtl w:val="0"/>
      </w:rPr>
      <w:t xml:space="preserve">ENC 6332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