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77777777" w:rsidR="005A5E6F" w:rsidRPr="00ED40C4" w:rsidRDefault="005A5E6F">
      <w:pPr>
        <w:spacing w:after="0" w:line="240" w:lineRule="auto"/>
        <w:jc w:val="center"/>
        <w:rPr>
          <w:rFonts w:ascii="Times New Roman" w:eastAsia="Arial" w:hAnsi="Times New Roman" w:cs="Times New Roman"/>
          <w:color w:val="000000"/>
          <w:sz w:val="24"/>
          <w:szCs w:val="24"/>
          <w:u w:val="single"/>
        </w:rPr>
      </w:pPr>
    </w:p>
    <w:p w14:paraId="00000004" w14:textId="77777777" w:rsidR="005A5E6F" w:rsidRPr="00ED40C4" w:rsidRDefault="00000000">
      <w:pPr>
        <w:spacing w:after="0" w:line="240" w:lineRule="auto"/>
        <w:jc w:val="center"/>
        <w:rPr>
          <w:rFonts w:ascii="Times New Roman" w:eastAsia="Arial" w:hAnsi="Times New Roman" w:cs="Times New Roman"/>
          <w:color w:val="000000"/>
          <w:sz w:val="24"/>
          <w:szCs w:val="24"/>
          <w:u w:val="single"/>
        </w:rPr>
      </w:pPr>
      <w:r w:rsidRPr="00ED40C4">
        <w:rPr>
          <w:rFonts w:ascii="Times New Roman" w:eastAsia="Arial" w:hAnsi="Times New Roman" w:cs="Times New Roman"/>
          <w:color w:val="000000"/>
          <w:sz w:val="24"/>
          <w:szCs w:val="24"/>
          <w:u w:val="single"/>
        </w:rPr>
        <w:t>Literature Review Draft for ENG 6800</w:t>
      </w:r>
    </w:p>
    <w:p w14:paraId="0000000D" w14:textId="77777777" w:rsidR="005A5E6F" w:rsidRPr="00ED40C4" w:rsidRDefault="00000000" w:rsidP="00ED40C4">
      <w:pPr>
        <w:spacing w:after="0" w:line="240" w:lineRule="auto"/>
        <w:rPr>
          <w:rFonts w:ascii="Times New Roman" w:eastAsia="Arial" w:hAnsi="Times New Roman" w:cs="Times New Roman"/>
          <w:color w:val="000000"/>
          <w:sz w:val="24"/>
          <w:szCs w:val="24"/>
        </w:rPr>
      </w:pPr>
      <w:r w:rsidRPr="00ED40C4">
        <w:rPr>
          <w:rFonts w:ascii="Times New Roman" w:eastAsia="Arial" w:hAnsi="Times New Roman" w:cs="Times New Roman"/>
          <w:color w:val="000000"/>
          <w:sz w:val="24"/>
          <w:szCs w:val="24"/>
        </w:rPr>
        <w:t xml:space="preserve">          </w:t>
      </w:r>
    </w:p>
    <w:p w14:paraId="0000000E" w14:textId="77777777" w:rsidR="005A5E6F" w:rsidRPr="00ED40C4" w:rsidRDefault="00000000">
      <w:pPr>
        <w:spacing w:after="0" w:line="240" w:lineRule="auto"/>
        <w:rPr>
          <w:rFonts w:ascii="Times New Roman" w:eastAsia="Arial" w:hAnsi="Times New Roman" w:cs="Times New Roman"/>
          <w:i/>
          <w:color w:val="000000"/>
          <w:sz w:val="24"/>
          <w:szCs w:val="24"/>
        </w:rPr>
      </w:pPr>
      <w:r w:rsidRPr="00ED40C4">
        <w:rPr>
          <w:rFonts w:ascii="Times New Roman" w:eastAsia="Arial" w:hAnsi="Times New Roman" w:cs="Times New Roman"/>
          <w:i/>
          <w:color w:val="000000"/>
          <w:sz w:val="24"/>
          <w:szCs w:val="24"/>
        </w:rPr>
        <w:t>Play and Colonization</w:t>
      </w:r>
    </w:p>
    <w:p w14:paraId="0000000F" w14:textId="77777777" w:rsidR="005A5E6F" w:rsidRPr="00ED40C4" w:rsidRDefault="005A5E6F">
      <w:pPr>
        <w:spacing w:after="0" w:line="240" w:lineRule="auto"/>
        <w:rPr>
          <w:rFonts w:ascii="Times New Roman" w:eastAsia="Arial" w:hAnsi="Times New Roman" w:cs="Times New Roman"/>
          <w:i/>
          <w:color w:val="000000"/>
          <w:sz w:val="24"/>
          <w:szCs w:val="24"/>
        </w:rPr>
      </w:pPr>
    </w:p>
    <w:p w14:paraId="0D31D2B7" w14:textId="2F656E1B" w:rsidR="00663F6D" w:rsidRPr="00ED40C4" w:rsidRDefault="00000000" w:rsidP="00ED40C4">
      <w:pPr>
        <w:spacing w:after="0" w:line="480" w:lineRule="auto"/>
        <w:contextualSpacing/>
        <w:rPr>
          <w:rFonts w:ascii="Times New Roman" w:eastAsia="Arial" w:hAnsi="Times New Roman" w:cs="Times New Roman"/>
          <w:color w:val="000000"/>
          <w:sz w:val="24"/>
          <w:szCs w:val="24"/>
        </w:rPr>
      </w:pPr>
      <w:r w:rsidRPr="00ED40C4">
        <w:rPr>
          <w:rFonts w:ascii="Times New Roman" w:eastAsia="Arial" w:hAnsi="Times New Roman" w:cs="Times New Roman"/>
          <w:i/>
          <w:color w:val="000000"/>
          <w:sz w:val="24"/>
          <w:szCs w:val="24"/>
        </w:rPr>
        <w:tab/>
      </w:r>
      <w:r w:rsidRPr="00ED40C4">
        <w:rPr>
          <w:rFonts w:ascii="Times New Roman" w:eastAsia="Arial" w:hAnsi="Times New Roman" w:cs="Times New Roman"/>
          <w:color w:val="000000"/>
          <w:sz w:val="24"/>
          <w:szCs w:val="24"/>
        </w:rPr>
        <w:t>Why would it matter if ahistorical content made it into the vague background contents of a Pokémon game? Does it matter who is indigenous to Hisui? Does it matter if one of the hidden implications in Arceus is that the Pokémon the player captures serve as replacements for the real-life indigenous people of this region who were supplanted in history?</w:t>
      </w:r>
      <w:r w:rsidR="00A729A7" w:rsidRPr="00ED40C4">
        <w:rPr>
          <w:rFonts w:ascii="Times New Roman" w:eastAsia="Arial" w:hAnsi="Times New Roman" w:cs="Times New Roman"/>
          <w:color w:val="000000"/>
          <w:sz w:val="24"/>
          <w:szCs w:val="24"/>
        </w:rPr>
        <w:t xml:space="preserve"> These are understandable questions, however, within the context of the colonization of Hokkaido and </w:t>
      </w:r>
      <w:r w:rsidR="00A7768C" w:rsidRPr="00ED40C4">
        <w:rPr>
          <w:rFonts w:ascii="Times New Roman" w:eastAsia="Arial" w:hAnsi="Times New Roman" w:cs="Times New Roman"/>
          <w:color w:val="000000"/>
          <w:sz w:val="24"/>
          <w:szCs w:val="24"/>
        </w:rPr>
        <w:t>present-day</w:t>
      </w:r>
      <w:r w:rsidR="00A729A7" w:rsidRPr="00ED40C4">
        <w:rPr>
          <w:rFonts w:ascii="Times New Roman" w:eastAsia="Arial" w:hAnsi="Times New Roman" w:cs="Times New Roman"/>
          <w:color w:val="000000"/>
          <w:sz w:val="24"/>
          <w:szCs w:val="24"/>
        </w:rPr>
        <w:t xml:space="preserve"> situation </w:t>
      </w:r>
      <w:r w:rsidR="00895424" w:rsidRPr="00ED40C4">
        <w:rPr>
          <w:rFonts w:ascii="Times New Roman" w:eastAsia="Arial" w:hAnsi="Times New Roman" w:cs="Times New Roman"/>
          <w:color w:val="000000"/>
          <w:sz w:val="24"/>
          <w:szCs w:val="24"/>
        </w:rPr>
        <w:t xml:space="preserve">of indigenous people in Japan, it’s necessary to examine the underlying implications and beliefs that informed this game. As </w:t>
      </w:r>
      <w:proofErr w:type="spellStart"/>
      <w:r w:rsidR="00895424" w:rsidRPr="00ED40C4">
        <w:rPr>
          <w:rFonts w:ascii="Times New Roman" w:eastAsia="Arial" w:hAnsi="Times New Roman" w:cs="Times New Roman"/>
          <w:color w:val="000000"/>
          <w:sz w:val="24"/>
          <w:szCs w:val="24"/>
        </w:rPr>
        <w:t>Boghost</w:t>
      </w:r>
      <w:proofErr w:type="spellEnd"/>
      <w:r w:rsidR="00895424" w:rsidRPr="00ED40C4">
        <w:rPr>
          <w:rFonts w:ascii="Times New Roman" w:eastAsia="Arial" w:hAnsi="Times New Roman" w:cs="Times New Roman"/>
          <w:color w:val="000000"/>
          <w:sz w:val="24"/>
          <w:szCs w:val="24"/>
        </w:rPr>
        <w:t xml:space="preserve"> argues in </w:t>
      </w:r>
      <w:r w:rsidR="00895424" w:rsidRPr="00ED40C4">
        <w:rPr>
          <w:rFonts w:ascii="Times New Roman" w:eastAsia="Arial" w:hAnsi="Times New Roman" w:cs="Times New Roman"/>
          <w:i/>
          <w:iCs/>
          <w:color w:val="000000"/>
          <w:sz w:val="24"/>
          <w:szCs w:val="24"/>
        </w:rPr>
        <w:t>The Rhetoric of Video Games</w:t>
      </w:r>
      <w:r w:rsidR="00895424" w:rsidRPr="00ED40C4">
        <w:rPr>
          <w:rFonts w:ascii="Times New Roman" w:eastAsia="Arial" w:hAnsi="Times New Roman" w:cs="Times New Roman"/>
          <w:color w:val="000000"/>
          <w:sz w:val="24"/>
          <w:szCs w:val="24"/>
        </w:rPr>
        <w:t>, video games will bear the biases of their creators and can help shed light on ideological biases</w:t>
      </w:r>
      <w:r w:rsidR="00A7768C" w:rsidRPr="00ED40C4">
        <w:rPr>
          <w:rFonts w:ascii="Times New Roman" w:eastAsia="Arial" w:hAnsi="Times New Roman" w:cs="Times New Roman"/>
          <w:color w:val="000000"/>
          <w:sz w:val="24"/>
          <w:szCs w:val="24"/>
        </w:rPr>
        <w:t xml:space="preserve"> </w:t>
      </w:r>
      <w:r w:rsidR="00ED40C4">
        <w:rPr>
          <w:rFonts w:ascii="Times New Roman" w:eastAsia="Arial" w:hAnsi="Times New Roman" w:cs="Times New Roman"/>
          <w:color w:val="000000"/>
          <w:sz w:val="24"/>
          <w:szCs w:val="24"/>
        </w:rPr>
        <w:fldChar w:fldCharType="begin"/>
      </w:r>
      <w:r w:rsidR="00ED40C4">
        <w:rPr>
          <w:rFonts w:ascii="Times New Roman" w:eastAsia="Arial" w:hAnsi="Times New Roman" w:cs="Times New Roman"/>
          <w:color w:val="000000"/>
          <w:sz w:val="24"/>
          <w:szCs w:val="24"/>
        </w:rPr>
        <w:instrText xml:space="preserve"> ADDIN ZOTERO_ITEM CSL_CITATION {"citationID":"OlrILFQC","properties":{"formattedCitation":"(Bogost)","plainCitation":"(Bogost)","noteIndex":0},"citationItems":[{"id":191,"uris":["http://zotero.org/users/9920863/items/J4C9VF54"],"itemData":{"id":191,"type":"article-journal","abstract":"Animal Crossing is an “animal village simulator” for the Nintendo GameCube and DS video game consoles.1 As the game begins, the player has just left home to move to the game’s small village. There he meets a host of cartoonish animal residents and settles into a new life. The player is penniless upon arrival, and the game quickly thrusts him into the reality of making ends meet. The village’s resident real estate tycoon and shopkeeper, Tom Nook, helps the player out, offering him a small shack to live in and a job of planting trees, delivering goods, and creating marketing materials on the town notice board (see figure 1). After completing these chores, Nook releases the player to explore the town on his own. He may then work, trade, and personalize his environment. The game offers a series of innocuous, even mundane activities like bug catching, gardening, and wallpaper designing. One of the more challenging projects in the game is paying off the mortgage on one’s house. Animal Crossing allows players to upgrade their homes, but doing so requires paying off a large note the player must take out to start the game in the first place. The player must then pay down renovation mortgages for even larger sums.2 While the game omits some of the more punitive intricacies of long-term debt, such as compounding interest, improving one’s home does require consistent work in the game world. Catching fish, hunting for fossils, finding insects, and doing jobs for other townsfolk all produce income that can be used to pay off mortgage debt or to buy carpets, furniture, and objects to decorate one’s house. When my then five-year-old began playing the game seriously, he quickly recognized the dilemma he faced. On the one hand, he wanted to spend the money he had earned from collecting fruit and bugs on new furniture, carpets, and shirts. On the other hand, he wanted to pay off his house so he could get a bigger one like mine. Once he managed to amass enough savings to pay off his mortgage, Tom Nook offered to expand his house. While it is possible to refrain from upgrading, the unassuming raccoon continues to offer renovations as frequently as the player visits his store. My son began to realize the dilemma facing him: the more material possessions he took on, the more space he needed, and the more debt he had to assume to provide that space. And the additional space just fueled more material acquisitions, continuing the loop. This link between debt and acquisition gives form to a routine that many mortgage holders fail to recognize: buying more living space not only creates more debt, it also drives the impulse to acquire more goods. More goods demand even more space, creating a vicious cycle.","title":"Rhetoric of Video Games","author":[{"family":"Bogost","given":"Ian"}],"issued":{"date-parts":[["2007"]]}}}],"schema":"https://github.com/citation-style-language/schema/raw/master/csl-citation.json"} </w:instrText>
      </w:r>
      <w:r w:rsidR="00ED40C4">
        <w:rPr>
          <w:rFonts w:ascii="Times New Roman" w:eastAsia="Arial" w:hAnsi="Times New Roman" w:cs="Times New Roman"/>
          <w:color w:val="000000"/>
          <w:sz w:val="24"/>
          <w:szCs w:val="24"/>
        </w:rPr>
        <w:fldChar w:fldCharType="separate"/>
      </w:r>
      <w:r w:rsidR="00ED40C4" w:rsidRPr="00ED40C4">
        <w:rPr>
          <w:rFonts w:ascii="Times New Roman" w:hAnsi="Times New Roman" w:cs="Times New Roman"/>
          <w:sz w:val="24"/>
        </w:rPr>
        <w:t>(Bogost</w:t>
      </w:r>
      <w:r w:rsidR="00ED40C4">
        <w:rPr>
          <w:rFonts w:ascii="Times New Roman" w:hAnsi="Times New Roman" w:cs="Times New Roman"/>
          <w:sz w:val="24"/>
        </w:rPr>
        <w:t xml:space="preserve"> 128</w:t>
      </w:r>
      <w:r w:rsidR="00ED40C4" w:rsidRPr="00ED40C4">
        <w:rPr>
          <w:rFonts w:ascii="Times New Roman" w:hAnsi="Times New Roman" w:cs="Times New Roman"/>
          <w:sz w:val="24"/>
        </w:rPr>
        <w:t>)</w:t>
      </w:r>
      <w:r w:rsidR="00ED40C4">
        <w:rPr>
          <w:rFonts w:ascii="Times New Roman" w:eastAsia="Arial" w:hAnsi="Times New Roman" w:cs="Times New Roman"/>
          <w:color w:val="000000"/>
          <w:sz w:val="24"/>
          <w:szCs w:val="24"/>
        </w:rPr>
        <w:fldChar w:fldCharType="end"/>
      </w:r>
    </w:p>
    <w:p w14:paraId="0B88E7EE" w14:textId="6FAD0B6E" w:rsidR="002538C7" w:rsidRPr="00ED40C4" w:rsidRDefault="00000000" w:rsidP="00ED40C4">
      <w:pPr>
        <w:spacing w:after="0" w:line="480" w:lineRule="auto"/>
        <w:ind w:firstLine="720"/>
        <w:contextualSpacing/>
        <w:rPr>
          <w:rFonts w:ascii="Times New Roman" w:eastAsia="Arial" w:hAnsi="Times New Roman" w:cs="Times New Roman"/>
          <w:color w:val="000000"/>
          <w:sz w:val="24"/>
          <w:szCs w:val="24"/>
        </w:rPr>
      </w:pPr>
      <w:r w:rsidRPr="00ED40C4">
        <w:rPr>
          <w:rFonts w:ascii="Times New Roman" w:eastAsia="Arial" w:hAnsi="Times New Roman" w:cs="Times New Roman"/>
          <w:sz w:val="24"/>
          <w:szCs w:val="24"/>
        </w:rPr>
        <w:t xml:space="preserve">Both the examples of the typical procedure of Pokémon games and the differences that emerged in Arceus constitute </w:t>
      </w:r>
      <w:proofErr w:type="spellStart"/>
      <w:r w:rsidRPr="00ED40C4">
        <w:rPr>
          <w:rFonts w:ascii="Times New Roman" w:eastAsia="Arial" w:hAnsi="Times New Roman" w:cs="Times New Roman"/>
          <w:sz w:val="24"/>
          <w:szCs w:val="24"/>
        </w:rPr>
        <w:t>Boghost’s</w:t>
      </w:r>
      <w:proofErr w:type="spellEnd"/>
      <w:r w:rsidRPr="00ED40C4">
        <w:rPr>
          <w:rFonts w:ascii="Times New Roman" w:eastAsia="Arial" w:hAnsi="Times New Roman" w:cs="Times New Roman"/>
          <w:sz w:val="24"/>
          <w:szCs w:val="24"/>
        </w:rPr>
        <w:t xml:space="preserve"> concept of procedural rhetoric, or arguments authored through process </w:t>
      </w:r>
      <w:r w:rsidR="00ED40C4">
        <w:rPr>
          <w:rFonts w:ascii="Times New Roman" w:eastAsia="Arial" w:hAnsi="Times New Roman" w:cs="Times New Roman"/>
          <w:sz w:val="24"/>
          <w:szCs w:val="24"/>
        </w:rPr>
        <w:fldChar w:fldCharType="begin"/>
      </w:r>
      <w:r w:rsidR="00ED40C4">
        <w:rPr>
          <w:rFonts w:ascii="Times New Roman" w:eastAsia="Arial" w:hAnsi="Times New Roman" w:cs="Times New Roman"/>
          <w:sz w:val="24"/>
          <w:szCs w:val="24"/>
        </w:rPr>
        <w:instrText xml:space="preserve"> ADDIN ZOTERO_ITEM CSL_CITATION {"citationID":"DfM78K9Y","properties":{"formattedCitation":"(Bogost)","plainCitation":"(Bogost)","noteIndex":0},"citationItems":[{"id":191,"uris":["http://zotero.org/users/9920863/items/J4C9VF54"],"itemData":{"id":191,"type":"article-journal","abstract":"Animal Crossing is an “animal village simulator” for the Nintendo GameCube and DS video game consoles.1 As the game begins, the player has just left home to move to the game’s small village. There he meets a host of cartoonish animal residents and settles into a new life. The player is penniless upon arrival, and the game quickly thrusts him into the reality of making ends meet. The village’s resident real estate tycoon and shopkeeper, Tom Nook, helps the player out, offering him a small shack to live in and a job of planting trees, delivering goods, and creating marketing materials on the town notice board (see figure 1). After completing these chores, Nook releases the player to explore the town on his own. He may then work, trade, and personalize his environment. The game offers a series of innocuous, even mundane activities like bug catching, gardening, and wallpaper designing. One of the more challenging projects in the game is paying off the mortgage on one’s house. Animal Crossing allows players to upgrade their homes, but doing so requires paying off a large note the player must take out to start the game in the first place. The player must then pay down renovation mortgages for even larger sums.2 While the game omits some of the more punitive intricacies of long-term debt, such as compounding interest, improving one’s home does require consistent work in the game world. Catching fish, hunting for fossils, finding insects, and doing jobs for other townsfolk all produce income that can be used to pay off mortgage debt or to buy carpets, furniture, and objects to decorate one’s house. When my then five-year-old began playing the game seriously, he quickly recognized the dilemma he faced. On the one hand, he wanted to spend the money he had earned from collecting fruit and bugs on new furniture, carpets, and shirts. On the other hand, he wanted to pay off his house so he could get a bigger one like mine. Once he managed to amass enough savings to pay off his mortgage, Tom Nook offered to expand his house. While it is possible to refrain from upgrading, the unassuming raccoon continues to offer renovations as frequently as the player visits his store. My son began to realize the dilemma facing him: the more material possessions he took on, the more space he needed, and the more debt he had to assume to provide that space. And the additional space just fueled more material acquisitions, continuing the loop. This link between debt and acquisition gives form to a routine that many mortgage holders fail to recognize: buying more living space not only creates more debt, it also drives the impulse to acquire more goods. More goods demand even more space, creating a vicious cycle.","title":"Rhetoric of Video Games","author":[{"family":"Bogost","given":"Ian"}],"issued":{"date-parts":[["2007"]]}}}],"schema":"https://github.com/citation-style-language/schema/raw/master/csl-citation.json"} </w:instrText>
      </w:r>
      <w:r w:rsidR="00ED40C4">
        <w:rPr>
          <w:rFonts w:ascii="Times New Roman" w:eastAsia="Arial" w:hAnsi="Times New Roman" w:cs="Times New Roman"/>
          <w:sz w:val="24"/>
          <w:szCs w:val="24"/>
        </w:rPr>
        <w:fldChar w:fldCharType="separate"/>
      </w:r>
      <w:r w:rsidR="00ED40C4" w:rsidRPr="00ED40C4">
        <w:rPr>
          <w:rFonts w:ascii="Times New Roman" w:hAnsi="Times New Roman" w:cs="Times New Roman"/>
          <w:sz w:val="24"/>
        </w:rPr>
        <w:t>(Bogost</w:t>
      </w:r>
      <w:r w:rsidR="00ED40C4">
        <w:rPr>
          <w:rFonts w:ascii="Times New Roman" w:hAnsi="Times New Roman" w:cs="Times New Roman"/>
          <w:sz w:val="24"/>
        </w:rPr>
        <w:t xml:space="preserve"> 125</w:t>
      </w:r>
      <w:r w:rsidR="00ED40C4" w:rsidRPr="00ED40C4">
        <w:rPr>
          <w:rFonts w:ascii="Times New Roman" w:hAnsi="Times New Roman" w:cs="Times New Roman"/>
          <w:sz w:val="24"/>
        </w:rPr>
        <w:t>)</w:t>
      </w:r>
      <w:r w:rsidR="00ED40C4">
        <w:rPr>
          <w:rFonts w:ascii="Times New Roman" w:eastAsia="Arial" w:hAnsi="Times New Roman" w:cs="Times New Roman"/>
          <w:sz w:val="24"/>
          <w:szCs w:val="24"/>
        </w:rPr>
        <w:fldChar w:fldCharType="end"/>
      </w:r>
      <w:r w:rsidRPr="00ED40C4">
        <w:rPr>
          <w:rFonts w:ascii="Times New Roman" w:eastAsia="Arial" w:hAnsi="Times New Roman" w:cs="Times New Roman"/>
          <w:sz w:val="24"/>
          <w:szCs w:val="24"/>
        </w:rPr>
        <w:t xml:space="preserve">. Through the process of the player’s Pokémon journey, an argument is made for the player as an unequivocal ‘good guy’. </w:t>
      </w:r>
      <w:r w:rsidRPr="00ED40C4">
        <w:rPr>
          <w:rFonts w:ascii="Times New Roman" w:eastAsia="Arial" w:hAnsi="Times New Roman" w:cs="Times New Roman"/>
          <w:i/>
          <w:color w:val="000000"/>
          <w:sz w:val="24"/>
          <w:szCs w:val="24"/>
        </w:rPr>
        <w:t>Arceus</w:t>
      </w:r>
      <w:r w:rsidRPr="00ED40C4">
        <w:rPr>
          <w:rFonts w:ascii="Times New Roman" w:eastAsia="Arial" w:hAnsi="Times New Roman" w:cs="Times New Roman"/>
          <w:color w:val="000000"/>
          <w:sz w:val="24"/>
          <w:szCs w:val="24"/>
        </w:rPr>
        <w:t xml:space="preserve"> imagines for its audience a historical Hokkaido without indigenous people or colonization, one explored and peacefully visited by a silent, hero-coded child protagonist. This is particularly concerning in the context of Japanese soft power and the false perception of Modern Japan as culturally homogeneous. Narratives like the one presented in </w:t>
      </w:r>
      <w:r w:rsidRPr="00ED40C4">
        <w:rPr>
          <w:rFonts w:ascii="Times New Roman" w:eastAsia="Arial" w:hAnsi="Times New Roman" w:cs="Times New Roman"/>
          <w:i/>
          <w:color w:val="000000"/>
          <w:sz w:val="24"/>
          <w:szCs w:val="24"/>
        </w:rPr>
        <w:t>Arceus</w:t>
      </w:r>
      <w:r w:rsidRPr="00ED40C4">
        <w:rPr>
          <w:rFonts w:ascii="Times New Roman" w:eastAsia="Arial" w:hAnsi="Times New Roman" w:cs="Times New Roman"/>
          <w:color w:val="000000"/>
          <w:sz w:val="24"/>
          <w:szCs w:val="24"/>
        </w:rPr>
        <w:t xml:space="preserve"> reinforce the erasure of cultural minorities in Japan and the damage caused by Japan’s colonial history. </w:t>
      </w:r>
      <w:r w:rsidR="002538C7" w:rsidRPr="00ED40C4">
        <w:rPr>
          <w:rFonts w:ascii="Times New Roman" w:eastAsia="Arial" w:hAnsi="Times New Roman" w:cs="Times New Roman"/>
          <w:color w:val="FF0000"/>
          <w:sz w:val="24"/>
          <w:szCs w:val="24"/>
        </w:rPr>
        <w:t xml:space="preserve"> </w:t>
      </w:r>
    </w:p>
    <w:p w14:paraId="00000011" w14:textId="4BCCD15E" w:rsidR="005A5E6F" w:rsidRPr="00ED40C4" w:rsidRDefault="00000000" w:rsidP="00ED40C4">
      <w:pPr>
        <w:spacing w:after="0" w:line="240" w:lineRule="auto"/>
        <w:ind w:firstLine="720"/>
        <w:rPr>
          <w:rFonts w:ascii="Times New Roman" w:eastAsia="Arial" w:hAnsi="Times New Roman" w:cs="Times New Roman"/>
          <w:sz w:val="24"/>
          <w:szCs w:val="24"/>
        </w:rPr>
      </w:pPr>
      <w:r w:rsidRPr="00ED40C4">
        <w:rPr>
          <w:rFonts w:ascii="Times New Roman" w:eastAsia="Arial" w:hAnsi="Times New Roman" w:cs="Times New Roman"/>
          <w:sz w:val="24"/>
          <w:szCs w:val="24"/>
        </w:rPr>
        <w:t xml:space="preserve">Including this in a game, according to Steinkuehler, </w:t>
      </w:r>
    </w:p>
    <w:p w14:paraId="3750A029" w14:textId="7997B508" w:rsidR="00ED40C4" w:rsidRPr="00ED40C4" w:rsidRDefault="00000000" w:rsidP="007C6A3B">
      <w:pPr>
        <w:spacing w:after="0" w:line="240" w:lineRule="auto"/>
        <w:ind w:left="720"/>
        <w:rPr>
          <w:rFonts w:ascii="Times New Roman" w:eastAsia="Arial" w:hAnsi="Times New Roman" w:cs="Times New Roman"/>
          <w:sz w:val="24"/>
          <w:szCs w:val="24"/>
        </w:rPr>
      </w:pPr>
      <w:r w:rsidRPr="00ED40C4">
        <w:rPr>
          <w:rFonts w:ascii="Times New Roman" w:eastAsia="Arial" w:hAnsi="Times New Roman" w:cs="Times New Roman"/>
          <w:sz w:val="24"/>
          <w:szCs w:val="24"/>
        </w:rPr>
        <w:t xml:space="preserve">“[provides] a representational trace of both individual and collective activity and how it changes over time, enabling the researcher to unpack the bidirectional influence of self and society—how a given sociocultural context shapes and influences individual activity and meaning making through socialization and enculturation (Nasir, 2005) and how the </w:t>
      </w:r>
      <w:r w:rsidRPr="00ED40C4">
        <w:rPr>
          <w:rFonts w:ascii="Times New Roman" w:eastAsia="Arial" w:hAnsi="Times New Roman" w:cs="Times New Roman"/>
          <w:sz w:val="24"/>
          <w:szCs w:val="24"/>
        </w:rPr>
        <w:lastRenderedPageBreak/>
        <w:t xml:space="preserve">individual shapes and influences the culture in which he or she participates in return,” </w:t>
      </w:r>
      <w:r w:rsidR="00ED40C4">
        <w:rPr>
          <w:rFonts w:ascii="Times New Roman" w:eastAsia="Arial" w:hAnsi="Times New Roman" w:cs="Times New Roman"/>
          <w:sz w:val="24"/>
          <w:szCs w:val="24"/>
        </w:rPr>
        <w:fldChar w:fldCharType="begin"/>
      </w:r>
      <w:r w:rsidR="00ED40C4">
        <w:rPr>
          <w:rFonts w:ascii="Times New Roman" w:eastAsia="Arial" w:hAnsi="Times New Roman" w:cs="Times New Roman"/>
          <w:sz w:val="24"/>
          <w:szCs w:val="24"/>
        </w:rPr>
        <w:instrText xml:space="preserve"> ADDIN ZOTERO_ITEM CSL_CITATION {"citationID":"Bh18vIs1","properties":{"formattedCitation":"(Steinkuehler)","plainCitation":"(Steinkuehler)","noteIndex":0},"citationItems":[{"id":176,"uris":["http://zotero.org/users/9920863/items/IKUTR7SP"],"itemData":{"id":176,"type":"article-journal","abstract":"Games are an extremely valuable context for the study of cognition as inter(action) in the social and material world. They provide a representational trace of both individual and collective activity and how it changes over time, enabling the researcher to unpack the bidirectional influence of self and society. As both designed object and emergent culture, g/Games (a) consist of overlapping well-defined problems enveloped in ill-defined problems that render their solutions meaningful; (b) function as naturally occurring, selfsustaining, indigenous versions of online learning communities; and (c) simultaneously function as both culture and cultural object?as microcosms for studying the emergence, maintenance, transformation, and even collapse of online affinity groups and as talkaboutable objects that function as tokens in public conversations of broader societal issues within contemporary offline society. In this article, the author unpacks each of these claims in the context of the massively multiplayer online games.","container-title":"Games and Culture","DOI":"10.1177/1555412005281911","ISSN":"1555-4120","issue":"1","language":"en","note":"publisher: SAGE Publications","page":"97-102","source":"SAGE Journals","title":"Why Game (Culture) Studies Now?","volume":"1","author":[{"family":"Steinkuehler","given":"Constance A."}],"issued":{"date-parts":[["2006",1,1]]}}}],"schema":"https://github.com/citation-style-language/schema/raw/master/csl-citation.json"} </w:instrText>
      </w:r>
      <w:r w:rsidR="00ED40C4">
        <w:rPr>
          <w:rFonts w:ascii="Times New Roman" w:eastAsia="Arial" w:hAnsi="Times New Roman" w:cs="Times New Roman"/>
          <w:sz w:val="24"/>
          <w:szCs w:val="24"/>
        </w:rPr>
        <w:fldChar w:fldCharType="separate"/>
      </w:r>
      <w:r w:rsidR="00ED40C4" w:rsidRPr="00ED40C4">
        <w:rPr>
          <w:rFonts w:ascii="Times New Roman" w:hAnsi="Times New Roman" w:cs="Times New Roman"/>
          <w:sz w:val="24"/>
        </w:rPr>
        <w:t>(Steinkuehler</w:t>
      </w:r>
      <w:r w:rsidR="00ED40C4">
        <w:rPr>
          <w:rFonts w:ascii="Times New Roman" w:hAnsi="Times New Roman" w:cs="Times New Roman"/>
          <w:sz w:val="24"/>
        </w:rPr>
        <w:t xml:space="preserve"> 98</w:t>
      </w:r>
      <w:r w:rsidR="00ED40C4" w:rsidRPr="00ED40C4">
        <w:rPr>
          <w:rFonts w:ascii="Times New Roman" w:hAnsi="Times New Roman" w:cs="Times New Roman"/>
          <w:sz w:val="24"/>
        </w:rPr>
        <w:t>)</w:t>
      </w:r>
      <w:r w:rsidR="00ED40C4">
        <w:rPr>
          <w:rFonts w:ascii="Times New Roman" w:eastAsia="Arial" w:hAnsi="Times New Roman" w:cs="Times New Roman"/>
          <w:sz w:val="24"/>
          <w:szCs w:val="24"/>
        </w:rPr>
        <w:fldChar w:fldCharType="end"/>
      </w:r>
    </w:p>
    <w:p w14:paraId="00000012" w14:textId="33DCC3CF" w:rsidR="005A5E6F" w:rsidRPr="00ED40C4" w:rsidRDefault="00000000">
      <w:pPr>
        <w:spacing w:after="0" w:line="240" w:lineRule="auto"/>
        <w:ind w:left="1440"/>
        <w:rPr>
          <w:rFonts w:ascii="Times New Roman" w:eastAsia="Arial" w:hAnsi="Times New Roman" w:cs="Times New Roman"/>
          <w:sz w:val="24"/>
          <w:szCs w:val="24"/>
        </w:rPr>
      </w:pPr>
      <w:r w:rsidRPr="00ED40C4">
        <w:rPr>
          <w:rFonts w:ascii="Times New Roman" w:eastAsia="Arial" w:hAnsi="Times New Roman" w:cs="Times New Roman"/>
          <w:sz w:val="24"/>
          <w:szCs w:val="24"/>
        </w:rPr>
        <w:t xml:space="preserve"> </w:t>
      </w:r>
    </w:p>
    <w:p w14:paraId="00000013" w14:textId="77777777" w:rsidR="005A5E6F" w:rsidRPr="00ED40C4" w:rsidRDefault="00000000" w:rsidP="00ED40C4">
      <w:pPr>
        <w:spacing w:after="0" w:line="480" w:lineRule="auto"/>
        <w:ind w:firstLine="720"/>
        <w:contextualSpacing/>
        <w:rPr>
          <w:rFonts w:ascii="Times New Roman" w:eastAsia="Arial" w:hAnsi="Times New Roman" w:cs="Times New Roman"/>
          <w:sz w:val="24"/>
          <w:szCs w:val="24"/>
        </w:rPr>
      </w:pPr>
      <w:r w:rsidRPr="00ED40C4">
        <w:rPr>
          <w:rFonts w:ascii="Times New Roman" w:eastAsia="Arial" w:hAnsi="Times New Roman" w:cs="Times New Roman"/>
          <w:sz w:val="24"/>
          <w:szCs w:val="24"/>
        </w:rPr>
        <w:t xml:space="preserve">According to </w:t>
      </w:r>
      <w:proofErr w:type="spellStart"/>
      <w:r w:rsidRPr="00ED40C4">
        <w:rPr>
          <w:rFonts w:ascii="Times New Roman" w:eastAsia="Arial" w:hAnsi="Times New Roman" w:cs="Times New Roman"/>
          <w:sz w:val="24"/>
          <w:szCs w:val="24"/>
        </w:rPr>
        <w:t>Boghost</w:t>
      </w:r>
      <w:proofErr w:type="spellEnd"/>
      <w:r w:rsidRPr="00ED40C4">
        <w:rPr>
          <w:rFonts w:ascii="Times New Roman" w:eastAsia="Arial" w:hAnsi="Times New Roman" w:cs="Times New Roman"/>
          <w:sz w:val="24"/>
          <w:szCs w:val="24"/>
        </w:rPr>
        <w:t xml:space="preserve">: </w:t>
      </w:r>
    </w:p>
    <w:p w14:paraId="00000014" w14:textId="37312A8B" w:rsidR="005A5E6F" w:rsidRDefault="00000000">
      <w:pPr>
        <w:spacing w:after="0" w:line="240" w:lineRule="auto"/>
        <w:ind w:left="720"/>
        <w:rPr>
          <w:rFonts w:ascii="Times New Roman" w:eastAsia="Arial" w:hAnsi="Times New Roman" w:cs="Times New Roman"/>
          <w:sz w:val="24"/>
          <w:szCs w:val="24"/>
        </w:rPr>
      </w:pPr>
      <w:r w:rsidRPr="00ED40C4">
        <w:rPr>
          <w:rFonts w:ascii="Times New Roman" w:eastAsia="Arial" w:hAnsi="Times New Roman" w:cs="Times New Roman"/>
          <w:sz w:val="24"/>
          <w:szCs w:val="24"/>
        </w:rPr>
        <w:t xml:space="preserve">“Video games are models of real and imagined systems…when we play, we explore the possibility space of a set of rules—we learn to understand and evaluate a game’s meaning. Video games make arguments about how social or cultural systems work in the world—or how they could work, or don’t work,” </w:t>
      </w:r>
      <w:r w:rsidR="00ED40C4">
        <w:rPr>
          <w:rFonts w:ascii="Times New Roman" w:eastAsia="Arial" w:hAnsi="Times New Roman" w:cs="Times New Roman"/>
          <w:sz w:val="24"/>
          <w:szCs w:val="24"/>
        </w:rPr>
        <w:fldChar w:fldCharType="begin"/>
      </w:r>
      <w:r w:rsidR="00ED40C4">
        <w:rPr>
          <w:rFonts w:ascii="Times New Roman" w:eastAsia="Arial" w:hAnsi="Times New Roman" w:cs="Times New Roman"/>
          <w:sz w:val="24"/>
          <w:szCs w:val="24"/>
        </w:rPr>
        <w:instrText xml:space="preserve"> ADDIN ZOTERO_ITEM CSL_CITATION {"citationID":"46IDHKIA","properties":{"formattedCitation":"(Bogost)","plainCitation":"(Bogost)","noteIndex":0},"citationItems":[{"id":191,"uris":["http://zotero.org/users/9920863/items/J4C9VF54"],"itemData":{"id":191,"type":"article-journal","abstract":"Animal Crossing is an “animal village simulator” for the Nintendo GameCube and DS video game consoles.1 As the game begins, the player has just left home to move to the game’s small village. There he meets a host of cartoonish animal residents and settles into a new life. The player is penniless upon arrival, and the game quickly thrusts him into the reality of making ends meet. The village’s resident real estate tycoon and shopkeeper, Tom Nook, helps the player out, offering him a small shack to live in and a job of planting trees, delivering goods, and creating marketing materials on the town notice board (see figure 1). After completing these chores, Nook releases the player to explore the town on his own. He may then work, trade, and personalize his environment. The game offers a series of innocuous, even mundane activities like bug catching, gardening, and wallpaper designing. One of the more challenging projects in the game is paying off the mortgage on one’s house. Animal Crossing allows players to upgrade their homes, but doing so requires paying off a large note the player must take out to start the game in the first place. The player must then pay down renovation mortgages for even larger sums.2 While the game omits some of the more punitive intricacies of long-term debt, such as compounding interest, improving one’s home does require consistent work in the game world. Catching fish, hunting for fossils, finding insects, and doing jobs for other townsfolk all produce income that can be used to pay off mortgage debt or to buy carpets, furniture, and objects to decorate one’s house. When my then five-year-old began playing the game seriously, he quickly recognized the dilemma he faced. On the one hand, he wanted to spend the money he had earned from collecting fruit and bugs on new furniture, carpets, and shirts. On the other hand, he wanted to pay off his house so he could get a bigger one like mine. Once he managed to amass enough savings to pay off his mortgage, Tom Nook offered to expand his house. While it is possible to refrain from upgrading, the unassuming raccoon continues to offer renovations as frequently as the player visits his store. My son began to realize the dilemma facing him: the more material possessions he took on, the more space he needed, and the more debt he had to assume to provide that space. And the additional space just fueled more material acquisitions, continuing the loop. This link between debt and acquisition gives form to a routine that many mortgage holders fail to recognize: buying more living space not only creates more debt, it also drives the impulse to acquire more goods. More goods demand even more space, creating a vicious cycle.","title":"Rhetoric of Video Games","author":[{"family":"Bogost","given":"Ian"}],"issued":{"date-parts":[["2007"]]}}}],"schema":"https://github.com/citation-style-language/schema/raw/master/csl-citation.json"} </w:instrText>
      </w:r>
      <w:r w:rsidR="00ED40C4">
        <w:rPr>
          <w:rFonts w:ascii="Times New Roman" w:eastAsia="Arial" w:hAnsi="Times New Roman" w:cs="Times New Roman"/>
          <w:sz w:val="24"/>
          <w:szCs w:val="24"/>
        </w:rPr>
        <w:fldChar w:fldCharType="separate"/>
      </w:r>
      <w:r w:rsidR="00ED40C4" w:rsidRPr="00ED40C4">
        <w:rPr>
          <w:rFonts w:ascii="Times New Roman" w:hAnsi="Times New Roman" w:cs="Times New Roman"/>
          <w:sz w:val="24"/>
        </w:rPr>
        <w:t>(Bogost</w:t>
      </w:r>
      <w:r w:rsidR="00ED40C4">
        <w:rPr>
          <w:rFonts w:ascii="Times New Roman" w:hAnsi="Times New Roman" w:cs="Times New Roman"/>
          <w:sz w:val="24"/>
        </w:rPr>
        <w:t xml:space="preserve"> 135</w:t>
      </w:r>
      <w:r w:rsidR="00ED40C4" w:rsidRPr="00ED40C4">
        <w:rPr>
          <w:rFonts w:ascii="Times New Roman" w:hAnsi="Times New Roman" w:cs="Times New Roman"/>
          <w:sz w:val="24"/>
        </w:rPr>
        <w:t>)</w:t>
      </w:r>
      <w:r w:rsidR="00ED40C4">
        <w:rPr>
          <w:rFonts w:ascii="Times New Roman" w:eastAsia="Arial" w:hAnsi="Times New Roman" w:cs="Times New Roman"/>
          <w:sz w:val="24"/>
          <w:szCs w:val="24"/>
        </w:rPr>
        <w:fldChar w:fldCharType="end"/>
      </w:r>
      <w:r w:rsidR="00ED40C4">
        <w:rPr>
          <w:rFonts w:ascii="Times New Roman" w:eastAsia="Arial" w:hAnsi="Times New Roman" w:cs="Times New Roman"/>
          <w:sz w:val="24"/>
          <w:szCs w:val="24"/>
        </w:rPr>
        <w:t>.</w:t>
      </w:r>
    </w:p>
    <w:p w14:paraId="7439E1CC" w14:textId="77777777" w:rsidR="00ED40C4" w:rsidRPr="00ED40C4" w:rsidRDefault="00ED40C4">
      <w:pPr>
        <w:spacing w:after="0" w:line="240" w:lineRule="auto"/>
        <w:ind w:left="720"/>
        <w:rPr>
          <w:rFonts w:ascii="Times New Roman" w:eastAsia="Arial" w:hAnsi="Times New Roman" w:cs="Times New Roman"/>
          <w:sz w:val="24"/>
          <w:szCs w:val="24"/>
        </w:rPr>
      </w:pPr>
    </w:p>
    <w:p w14:paraId="11A1821F" w14:textId="06BAFD3F" w:rsidR="00A7768C" w:rsidRPr="00ED40C4" w:rsidRDefault="00000000" w:rsidP="00ED40C4">
      <w:pPr>
        <w:spacing w:after="0" w:line="480" w:lineRule="auto"/>
        <w:ind w:firstLine="720"/>
        <w:contextualSpacing/>
        <w:rPr>
          <w:rFonts w:ascii="Times New Roman" w:eastAsia="Arial" w:hAnsi="Times New Roman" w:cs="Times New Roman"/>
          <w:color w:val="000000"/>
          <w:sz w:val="24"/>
          <w:szCs w:val="24"/>
        </w:rPr>
      </w:pPr>
      <w:r w:rsidRPr="00ED40C4">
        <w:rPr>
          <w:rFonts w:ascii="Times New Roman" w:eastAsia="Arial" w:hAnsi="Times New Roman" w:cs="Times New Roman"/>
          <w:sz w:val="24"/>
          <w:szCs w:val="24"/>
        </w:rPr>
        <w:t>By tethering this narrative to a procedural franchise like Pokémon</w:t>
      </w:r>
      <w:r w:rsidRPr="00ED40C4">
        <w:rPr>
          <w:rFonts w:ascii="Times New Roman" w:eastAsia="Arial" w:hAnsi="Times New Roman" w:cs="Times New Roman"/>
          <w:color w:val="000000"/>
          <w:sz w:val="24"/>
          <w:szCs w:val="24"/>
        </w:rPr>
        <w:t xml:space="preserve">, </w:t>
      </w:r>
      <w:r w:rsidRPr="00ED40C4">
        <w:rPr>
          <w:rFonts w:ascii="Times New Roman" w:eastAsia="Arial" w:hAnsi="Times New Roman" w:cs="Times New Roman"/>
          <w:i/>
          <w:color w:val="000000"/>
          <w:sz w:val="24"/>
          <w:szCs w:val="24"/>
        </w:rPr>
        <w:t xml:space="preserve">Arceus </w:t>
      </w:r>
      <w:r w:rsidRPr="00ED40C4">
        <w:rPr>
          <w:rFonts w:ascii="Times New Roman" w:eastAsia="Arial" w:hAnsi="Times New Roman" w:cs="Times New Roman"/>
          <w:color w:val="000000"/>
          <w:sz w:val="24"/>
          <w:szCs w:val="24"/>
        </w:rPr>
        <w:t xml:space="preserve">implicitly invites the player to participate in a sanitized version of the colonization of Hokkaido, one that appears to hurt no one and has </w:t>
      </w:r>
      <w:proofErr w:type="gramStart"/>
      <w:r w:rsidRPr="00ED40C4">
        <w:rPr>
          <w:rFonts w:ascii="Times New Roman" w:eastAsia="Arial" w:hAnsi="Times New Roman" w:cs="Times New Roman"/>
          <w:color w:val="000000"/>
          <w:sz w:val="24"/>
          <w:szCs w:val="24"/>
        </w:rPr>
        <w:t>absolutely no</w:t>
      </w:r>
      <w:proofErr w:type="gramEnd"/>
      <w:r w:rsidRPr="00ED40C4">
        <w:rPr>
          <w:rFonts w:ascii="Times New Roman" w:eastAsia="Arial" w:hAnsi="Times New Roman" w:cs="Times New Roman"/>
          <w:color w:val="000000"/>
          <w:sz w:val="24"/>
          <w:szCs w:val="24"/>
        </w:rPr>
        <w:t xml:space="preserve"> lasting historical consequences. It also reinforces the idea of a land without indigenous people, and thus, no forced miscegenation, and no cultural erasure</w:t>
      </w:r>
      <w:r w:rsidR="00505084" w:rsidRPr="00ED40C4">
        <w:rPr>
          <w:rFonts w:ascii="Times New Roman" w:eastAsia="Arial" w:hAnsi="Times New Roman" w:cs="Times New Roman"/>
          <w:color w:val="000000"/>
          <w:sz w:val="24"/>
          <w:szCs w:val="24"/>
        </w:rPr>
        <w:t xml:space="preserve">. This in turn </w:t>
      </w:r>
      <w:r w:rsidR="00A7768C" w:rsidRPr="00ED40C4">
        <w:rPr>
          <w:rFonts w:ascii="Times New Roman" w:eastAsia="Arial" w:hAnsi="Times New Roman" w:cs="Times New Roman"/>
          <w:color w:val="000000"/>
          <w:sz w:val="24"/>
          <w:szCs w:val="24"/>
        </w:rPr>
        <w:t xml:space="preserve">participates in a tradition of colonized </w:t>
      </w:r>
      <w:r w:rsidR="00505084" w:rsidRPr="00ED40C4">
        <w:rPr>
          <w:rFonts w:ascii="Times New Roman" w:eastAsia="Arial" w:hAnsi="Times New Roman" w:cs="Times New Roman"/>
          <w:color w:val="000000"/>
          <w:sz w:val="24"/>
          <w:szCs w:val="24"/>
        </w:rPr>
        <w:t xml:space="preserve">play and play as colonizing, which is particularly concerning in game studies as research regarding play has situated indigenous methods of play. </w:t>
      </w:r>
      <w:r w:rsidR="00A7768C" w:rsidRPr="00ED40C4">
        <w:rPr>
          <w:rFonts w:ascii="Times New Roman" w:eastAsia="Arial" w:hAnsi="Times New Roman" w:cs="Times New Roman"/>
          <w:color w:val="000000"/>
          <w:sz w:val="24"/>
          <w:szCs w:val="24"/>
        </w:rPr>
        <w:t xml:space="preserve">      </w:t>
      </w:r>
    </w:p>
    <w:p w14:paraId="3BD6BDD1" w14:textId="1009A544" w:rsidR="009F44BB" w:rsidRPr="00ED40C4" w:rsidRDefault="00505084" w:rsidP="00ED40C4">
      <w:pPr>
        <w:spacing w:after="0" w:line="480" w:lineRule="auto"/>
        <w:ind w:firstLine="720"/>
        <w:contextualSpacing/>
        <w:rPr>
          <w:rFonts w:ascii="Times New Roman" w:hAnsi="Times New Roman" w:cs="Times New Roman"/>
          <w:sz w:val="24"/>
          <w:szCs w:val="24"/>
        </w:rPr>
      </w:pPr>
      <w:r w:rsidRPr="00ED40C4">
        <w:rPr>
          <w:rFonts w:ascii="Times New Roman" w:eastAsia="Arial" w:hAnsi="Times New Roman" w:cs="Times New Roman"/>
          <w:color w:val="000000"/>
          <w:sz w:val="24"/>
          <w:szCs w:val="24"/>
        </w:rPr>
        <w:t xml:space="preserve">In his 2022 work </w:t>
      </w:r>
      <w:r w:rsidRPr="00ED40C4">
        <w:rPr>
          <w:rFonts w:ascii="Times New Roman" w:eastAsia="Arial" w:hAnsi="Times New Roman" w:cs="Times New Roman"/>
          <w:i/>
          <w:iCs/>
          <w:color w:val="000000"/>
          <w:sz w:val="24"/>
          <w:szCs w:val="24"/>
        </w:rPr>
        <w:t>Decolonizing Play</w:t>
      </w:r>
      <w:r w:rsidRPr="00ED40C4">
        <w:rPr>
          <w:rFonts w:ascii="Times New Roman" w:eastAsia="Arial" w:hAnsi="Times New Roman" w:cs="Times New Roman"/>
          <w:color w:val="000000"/>
          <w:sz w:val="24"/>
          <w:szCs w:val="24"/>
        </w:rPr>
        <w:t>, Trammell discusses the ways in which many play theorists such as Piaget posited what was normal or expected of play came from observing his own children, which in turn led to a white, European lens being centered in the expectations of play</w:t>
      </w:r>
      <w:r w:rsidR="00ED40C4">
        <w:rPr>
          <w:rFonts w:ascii="Times New Roman" w:eastAsia="Arial" w:hAnsi="Times New Roman" w:cs="Times New Roman"/>
          <w:color w:val="000000"/>
          <w:sz w:val="24"/>
          <w:szCs w:val="24"/>
        </w:rPr>
        <w:t xml:space="preserve"> </w:t>
      </w:r>
      <w:r w:rsidR="00ED40C4">
        <w:rPr>
          <w:rFonts w:ascii="Times New Roman" w:eastAsia="Arial" w:hAnsi="Times New Roman" w:cs="Times New Roman"/>
          <w:color w:val="000000"/>
          <w:sz w:val="24"/>
          <w:szCs w:val="24"/>
        </w:rPr>
        <w:fldChar w:fldCharType="begin"/>
      </w:r>
      <w:r w:rsidR="00ED40C4">
        <w:rPr>
          <w:rFonts w:ascii="Times New Roman" w:eastAsia="Arial" w:hAnsi="Times New Roman" w:cs="Times New Roman"/>
          <w:color w:val="000000"/>
          <w:sz w:val="24"/>
          <w:szCs w:val="24"/>
        </w:rPr>
        <w:instrText xml:space="preserve"> ADDIN ZOTERO_ITEM CSL_CITATION {"citationID":"h9JZnmBD","properties":{"formattedCitation":"(Trammell)","plainCitation":"(Trammell)","noteIndex":0},"citationItems":[{"id":175,"uris":["http://zotero.org/users/9920863/items/H3N2NWIQ"],"itemData":{"id":175,"type":"article-journal","abstract":"The past five years have seen the development of what Mukherjee, S. (2018. Playing subaltern: Video games and postcolonialism. Games and Culture, 13(5), 504–520) and Murray, S. (2018. The work of postcolonial game studies in the play of culture. Open Library of Humanities, 4(1), 1–25) (amongst others) term postcolonial game studies. Postcolonial game studies looks at how games represent colonial and postcolonial environments in the story worlds they present, and also considers how these games are consumed by players in postcolonial nations. Fittingly, it is a critique both of how games reproduce colonial tropes. In this essay, I argue that the work of decolonizing games requires that we also decolonize play. Here I shall argue that the foundational theories of play that game scholarship is predicated upon are built upon a racist and xenophobic binary that pits civilization against barbarism. This binary is a consequence of a white European canon of game studies scholarship that has supported a grand theory of play apprehended only through an etic lens. If we are to consider the future of game studies, I think we should work to decolonize play. Crucially, we must attend to how Black, Indigenous, and people of color (BIPOC) play globally and consider the many other ways—beyond merely games—that this play is articulated.","container-title":"Critical Studies in Media Communication","DOI":"10.1080/15295036.2022.2080844","ISSN":"1529-5036","issue":"3","note":"publisher: Routledge\n_eprint: https://doi.org/10.1080/15295036.2022.2080844","page":"239-246","source":"Taylor and Francis+NEJM","title":"Decolonizing play","volume":"39","author":[{"family":"Trammell","given":"Aaron"}],"issued":{"date-parts":[["2022",5,27]]}}}],"schema":"https://github.com/citation-style-language/schema/raw/master/csl-citation.json"} </w:instrText>
      </w:r>
      <w:r w:rsidR="00ED40C4">
        <w:rPr>
          <w:rFonts w:ascii="Times New Roman" w:eastAsia="Arial" w:hAnsi="Times New Roman" w:cs="Times New Roman"/>
          <w:color w:val="000000"/>
          <w:sz w:val="24"/>
          <w:szCs w:val="24"/>
        </w:rPr>
        <w:fldChar w:fldCharType="separate"/>
      </w:r>
      <w:r w:rsidR="00ED40C4" w:rsidRPr="00ED40C4">
        <w:rPr>
          <w:rFonts w:ascii="Times New Roman" w:hAnsi="Times New Roman" w:cs="Times New Roman"/>
          <w:sz w:val="24"/>
        </w:rPr>
        <w:t>(Trammell</w:t>
      </w:r>
      <w:r w:rsidR="00ED40C4">
        <w:rPr>
          <w:rFonts w:ascii="Times New Roman" w:hAnsi="Times New Roman" w:cs="Times New Roman"/>
          <w:sz w:val="24"/>
        </w:rPr>
        <w:t xml:space="preserve"> 240</w:t>
      </w:r>
      <w:r w:rsidR="00ED40C4" w:rsidRPr="00ED40C4">
        <w:rPr>
          <w:rFonts w:ascii="Times New Roman" w:hAnsi="Times New Roman" w:cs="Times New Roman"/>
          <w:sz w:val="24"/>
        </w:rPr>
        <w:t>)</w:t>
      </w:r>
      <w:r w:rsidR="00ED40C4">
        <w:rPr>
          <w:rFonts w:ascii="Times New Roman" w:eastAsia="Arial" w:hAnsi="Times New Roman" w:cs="Times New Roman"/>
          <w:color w:val="000000"/>
          <w:sz w:val="24"/>
          <w:szCs w:val="24"/>
        </w:rPr>
        <w:fldChar w:fldCharType="end"/>
      </w:r>
      <w:r w:rsidRPr="00ED40C4">
        <w:rPr>
          <w:rFonts w:ascii="Times New Roman" w:eastAsia="Arial" w:hAnsi="Times New Roman" w:cs="Times New Roman"/>
          <w:color w:val="000000"/>
          <w:sz w:val="24"/>
          <w:szCs w:val="24"/>
        </w:rPr>
        <w:t>. Both implicit and explicit biases, including outright racism, were recorded into the way we research play.</w:t>
      </w:r>
      <w:r w:rsidR="009F44BB" w:rsidRPr="00ED40C4">
        <w:rPr>
          <w:rFonts w:ascii="Times New Roman" w:eastAsia="Arial" w:hAnsi="Times New Roman" w:cs="Times New Roman"/>
          <w:color w:val="000000"/>
          <w:sz w:val="24"/>
          <w:szCs w:val="24"/>
        </w:rPr>
        <w:t xml:space="preserve"> “</w:t>
      </w:r>
      <w:r w:rsidR="009F44BB" w:rsidRPr="00ED40C4">
        <w:rPr>
          <w:rFonts w:ascii="Times New Roman" w:hAnsi="Times New Roman" w:cs="Times New Roman"/>
          <w:sz w:val="24"/>
          <w:szCs w:val="24"/>
        </w:rPr>
        <w:t>The logic of racism—binary divisions between rational and</w:t>
      </w:r>
      <w:r w:rsidR="009F44BB" w:rsidRPr="00ED40C4">
        <w:rPr>
          <w:rFonts w:ascii="Times New Roman" w:eastAsia="Arial" w:hAnsi="Times New Roman" w:cs="Times New Roman"/>
          <w:color w:val="000000"/>
          <w:sz w:val="24"/>
          <w:szCs w:val="24"/>
        </w:rPr>
        <w:t xml:space="preserve"> </w:t>
      </w:r>
      <w:r w:rsidR="009F44BB" w:rsidRPr="00ED40C4">
        <w:rPr>
          <w:rFonts w:ascii="Times New Roman" w:hAnsi="Times New Roman" w:cs="Times New Roman"/>
          <w:sz w:val="24"/>
          <w:szCs w:val="24"/>
        </w:rPr>
        <w:t xml:space="preserve">irrational, </w:t>
      </w:r>
      <w:proofErr w:type="gramStart"/>
      <w:r w:rsidR="009F44BB" w:rsidRPr="00ED40C4">
        <w:rPr>
          <w:rFonts w:ascii="Times New Roman" w:hAnsi="Times New Roman" w:cs="Times New Roman"/>
          <w:sz w:val="24"/>
          <w:szCs w:val="24"/>
        </w:rPr>
        <w:t>civilization</w:t>
      </w:r>
      <w:proofErr w:type="gramEnd"/>
      <w:r w:rsidR="009F44BB" w:rsidRPr="00ED40C4">
        <w:rPr>
          <w:rFonts w:ascii="Times New Roman" w:hAnsi="Times New Roman" w:cs="Times New Roman"/>
          <w:sz w:val="24"/>
          <w:szCs w:val="24"/>
        </w:rPr>
        <w:t xml:space="preserve"> and savagery—are etched throughout these early and canonical</w:t>
      </w:r>
      <w:r w:rsidR="009F44BB" w:rsidRPr="00ED40C4">
        <w:rPr>
          <w:rFonts w:ascii="Times New Roman" w:eastAsia="Arial" w:hAnsi="Times New Roman" w:cs="Times New Roman"/>
          <w:color w:val="000000"/>
          <w:sz w:val="24"/>
          <w:szCs w:val="24"/>
        </w:rPr>
        <w:t xml:space="preserve"> </w:t>
      </w:r>
      <w:r w:rsidR="009F44BB" w:rsidRPr="00ED40C4">
        <w:rPr>
          <w:rFonts w:ascii="Times New Roman" w:hAnsi="Times New Roman" w:cs="Times New Roman"/>
          <w:sz w:val="24"/>
          <w:szCs w:val="24"/>
        </w:rPr>
        <w:t>writing on play. If play is to be a useful concept at all in our scholarship, the tropes it</w:t>
      </w:r>
      <w:r w:rsidR="009F44BB" w:rsidRPr="00ED40C4">
        <w:rPr>
          <w:rFonts w:ascii="Times New Roman" w:eastAsia="Arial" w:hAnsi="Times New Roman" w:cs="Times New Roman"/>
          <w:color w:val="000000"/>
          <w:sz w:val="24"/>
          <w:szCs w:val="24"/>
        </w:rPr>
        <w:t xml:space="preserve"> </w:t>
      </w:r>
      <w:r w:rsidR="009F44BB" w:rsidRPr="00ED40C4">
        <w:rPr>
          <w:rFonts w:ascii="Times New Roman" w:hAnsi="Times New Roman" w:cs="Times New Roman"/>
          <w:sz w:val="24"/>
          <w:szCs w:val="24"/>
        </w:rPr>
        <w:t xml:space="preserve">borrows from colonialism must be interrogated and dismantled,” </w:t>
      </w:r>
      <w:r w:rsidR="00ED40C4">
        <w:rPr>
          <w:rFonts w:ascii="Times New Roman" w:hAnsi="Times New Roman" w:cs="Times New Roman"/>
          <w:sz w:val="24"/>
          <w:szCs w:val="24"/>
        </w:rPr>
        <w:fldChar w:fldCharType="begin"/>
      </w:r>
      <w:r w:rsidR="00ED40C4">
        <w:rPr>
          <w:rFonts w:ascii="Times New Roman" w:hAnsi="Times New Roman" w:cs="Times New Roman"/>
          <w:sz w:val="24"/>
          <w:szCs w:val="24"/>
        </w:rPr>
        <w:instrText xml:space="preserve"> ADDIN ZOTERO_ITEM CSL_CITATION {"citationID":"zcfcrjNk","properties":{"formattedCitation":"(Trammell)","plainCitation":"(Trammell)","noteIndex":0},"citationItems":[{"id":175,"uris":["http://zotero.org/users/9920863/items/H3N2NWIQ"],"itemData":{"id":175,"type":"article-journal","abstract":"The past five years have seen the development of what Mukherjee, S. (2018. Playing subaltern: Video games and postcolonialism. Games and Culture, 13(5), 504–520) and Murray, S. (2018. The work of postcolonial game studies in the play of culture. Open Library of Humanities, 4(1), 1–25) (amongst others) term postcolonial game studies. Postcolonial game studies looks at how games represent colonial and postcolonial environments in the story worlds they present, and also considers how these games are consumed by players in postcolonial nations. Fittingly, it is a critique both of how games reproduce colonial tropes. In this essay, I argue that the work of decolonizing games requires that we also decolonize play. Here I shall argue that the foundational theories of play that game scholarship is predicated upon are built upon a racist and xenophobic binary that pits civilization against barbarism. This binary is a consequence of a white European canon of game studies scholarship that has supported a grand theory of play apprehended only through an etic lens. If we are to consider the future of game studies, I think we should work to decolonize play. Crucially, we must attend to how Black, Indigenous, and people of color (BIPOC) play globally and consider the many other ways—beyond merely games—that this play is articulated.","container-title":"Critical Studies in Media Communication","DOI":"10.1080/15295036.2022.2080844","ISSN":"1529-5036","issue":"3","note":"publisher: Routledge\n_eprint: https://doi.org/10.1080/15295036.2022.2080844","page":"239-246","source":"Taylor and Francis+NEJM","title":"Decolonizing play","volume":"39","author":[{"family":"Trammell","given":"Aaron"}],"issued":{"date-parts":[["2022",5,27]]}}}],"schema":"https://github.com/citation-style-language/schema/raw/master/csl-citation.json"} </w:instrText>
      </w:r>
      <w:r w:rsidR="00ED40C4">
        <w:rPr>
          <w:rFonts w:ascii="Times New Roman" w:hAnsi="Times New Roman" w:cs="Times New Roman"/>
          <w:sz w:val="24"/>
          <w:szCs w:val="24"/>
        </w:rPr>
        <w:fldChar w:fldCharType="separate"/>
      </w:r>
      <w:r w:rsidR="00ED40C4" w:rsidRPr="00ED40C4">
        <w:rPr>
          <w:rFonts w:ascii="Times New Roman" w:hAnsi="Times New Roman" w:cs="Times New Roman"/>
          <w:sz w:val="24"/>
        </w:rPr>
        <w:t>(Trammell</w:t>
      </w:r>
      <w:r w:rsidR="00ED40C4">
        <w:rPr>
          <w:rFonts w:ascii="Times New Roman" w:hAnsi="Times New Roman" w:cs="Times New Roman"/>
          <w:sz w:val="24"/>
        </w:rPr>
        <w:t xml:space="preserve"> 241</w:t>
      </w:r>
      <w:r w:rsidR="00ED40C4" w:rsidRPr="00ED40C4">
        <w:rPr>
          <w:rFonts w:ascii="Times New Roman" w:hAnsi="Times New Roman" w:cs="Times New Roman"/>
          <w:sz w:val="24"/>
        </w:rPr>
        <w:t>)</w:t>
      </w:r>
      <w:r w:rsidR="00ED40C4">
        <w:rPr>
          <w:rFonts w:ascii="Times New Roman" w:hAnsi="Times New Roman" w:cs="Times New Roman"/>
          <w:sz w:val="24"/>
          <w:szCs w:val="24"/>
        </w:rPr>
        <w:fldChar w:fldCharType="end"/>
      </w:r>
      <w:r w:rsidR="00ED40C4">
        <w:rPr>
          <w:rFonts w:ascii="Times New Roman" w:hAnsi="Times New Roman" w:cs="Times New Roman"/>
          <w:sz w:val="24"/>
          <w:szCs w:val="24"/>
        </w:rPr>
        <w:t>.</w:t>
      </w:r>
    </w:p>
    <w:p w14:paraId="00000016" w14:textId="5A418EA0" w:rsidR="005A5E6F" w:rsidRPr="00ED40C4" w:rsidRDefault="009F44BB" w:rsidP="00ED40C4">
      <w:pPr>
        <w:spacing w:after="0" w:line="480" w:lineRule="auto"/>
        <w:ind w:firstLine="720"/>
        <w:contextualSpacing/>
        <w:rPr>
          <w:rFonts w:ascii="Times New Roman" w:hAnsi="Times New Roman" w:cs="Times New Roman"/>
          <w:color w:val="FF0000"/>
          <w:sz w:val="24"/>
          <w:szCs w:val="24"/>
        </w:rPr>
      </w:pPr>
      <w:r w:rsidRPr="00ED40C4">
        <w:rPr>
          <w:rFonts w:ascii="Times New Roman" w:hAnsi="Times New Roman" w:cs="Times New Roman"/>
          <w:sz w:val="24"/>
          <w:szCs w:val="24"/>
        </w:rPr>
        <w:t xml:space="preserve">Of interesting note, many of the </w:t>
      </w:r>
      <w:r w:rsidR="00736840" w:rsidRPr="00ED40C4">
        <w:rPr>
          <w:rFonts w:ascii="Times New Roman" w:hAnsi="Times New Roman" w:cs="Times New Roman"/>
          <w:sz w:val="24"/>
          <w:szCs w:val="24"/>
        </w:rPr>
        <w:t xml:space="preserve">colonial </w:t>
      </w:r>
      <w:r w:rsidRPr="00ED40C4">
        <w:rPr>
          <w:rFonts w:ascii="Times New Roman" w:hAnsi="Times New Roman" w:cs="Times New Roman"/>
          <w:sz w:val="24"/>
          <w:szCs w:val="24"/>
        </w:rPr>
        <w:t xml:space="preserve">logics </w:t>
      </w:r>
      <w:r w:rsidR="00736840" w:rsidRPr="00ED40C4">
        <w:rPr>
          <w:rFonts w:ascii="Times New Roman" w:hAnsi="Times New Roman" w:cs="Times New Roman"/>
          <w:sz w:val="24"/>
          <w:szCs w:val="24"/>
        </w:rPr>
        <w:t>that Trammell describes are both present and absent in Arceus.</w:t>
      </w:r>
      <w:r w:rsidR="00ED40C4" w:rsidRPr="00ED40C4">
        <w:rPr>
          <w:rFonts w:ascii="Times New Roman" w:hAnsi="Times New Roman" w:cs="Times New Roman"/>
          <w:sz w:val="24"/>
          <w:szCs w:val="24"/>
        </w:rPr>
        <w:t xml:space="preserve"> </w:t>
      </w:r>
      <w:r w:rsidRPr="00ED40C4">
        <w:rPr>
          <w:rFonts w:ascii="Times New Roman" w:eastAsia="Arial" w:hAnsi="Times New Roman" w:cs="Times New Roman"/>
          <w:sz w:val="24"/>
          <w:szCs w:val="24"/>
        </w:rPr>
        <w:t xml:space="preserve">According to Trammell, “Perhaps the most profound way any of us can resist the colonial tropes embedded in play theory is to read, learn, and understand what the </w:t>
      </w:r>
      <w:r w:rsidRPr="00ED40C4">
        <w:rPr>
          <w:rFonts w:ascii="Times New Roman" w:eastAsia="Arial" w:hAnsi="Times New Roman" w:cs="Times New Roman"/>
          <w:sz w:val="24"/>
          <w:szCs w:val="24"/>
        </w:rPr>
        <w:lastRenderedPageBreak/>
        <w:t xml:space="preserve">legacy of colonialism means for those who have lived through it and their descendants,” </w:t>
      </w:r>
      <w:r w:rsidR="00ED40C4">
        <w:rPr>
          <w:rFonts w:ascii="Times New Roman" w:eastAsia="Arial" w:hAnsi="Times New Roman" w:cs="Times New Roman"/>
          <w:sz w:val="24"/>
          <w:szCs w:val="24"/>
        </w:rPr>
        <w:fldChar w:fldCharType="begin"/>
      </w:r>
      <w:r w:rsidR="00ED40C4">
        <w:rPr>
          <w:rFonts w:ascii="Times New Roman" w:eastAsia="Arial" w:hAnsi="Times New Roman" w:cs="Times New Roman"/>
          <w:sz w:val="24"/>
          <w:szCs w:val="24"/>
        </w:rPr>
        <w:instrText xml:space="preserve"> ADDIN ZOTERO_ITEM CSL_CITATION {"citationID":"9wEnjFSd","properties":{"formattedCitation":"(Trammell)","plainCitation":"(Trammell)","noteIndex":0},"citationItems":[{"id":175,"uris":["http://zotero.org/users/9920863/items/H3N2NWIQ"],"itemData":{"id":175,"type":"article-journal","abstract":"The past five years have seen the development of what Mukherjee, S. (2018. Playing subaltern: Video games and postcolonialism. Games and Culture, 13(5), 504–520) and Murray, S. (2018. The work of postcolonial game studies in the play of culture. Open Library of Humanities, 4(1), 1–25) (amongst others) term postcolonial game studies. Postcolonial game studies looks at how games represent colonial and postcolonial environments in the story worlds they present, and also considers how these games are consumed by players in postcolonial nations. Fittingly, it is a critique both of how games reproduce colonial tropes. In this essay, I argue that the work of decolonizing games requires that we also decolonize play. Here I shall argue that the foundational theories of play that game scholarship is predicated upon are built upon a racist and xenophobic binary that pits civilization against barbarism. This binary is a consequence of a white European canon of game studies scholarship that has supported a grand theory of play apprehended only through an etic lens. If we are to consider the future of game studies, I think we should work to decolonize play. Crucially, we must attend to how Black, Indigenous, and people of color (BIPOC) play globally and consider the many other ways—beyond merely games—that this play is articulated.","container-title":"Critical Studies in Media Communication","DOI":"10.1080/15295036.2022.2080844","ISSN":"1529-5036","issue":"3","note":"publisher: Routledge\n_eprint: https://doi.org/10.1080/15295036.2022.2080844","page":"239-246","source":"Taylor and Francis+NEJM","title":"Decolonizing play","volume":"39","author":[{"family":"Trammell","given":"Aaron"}],"issued":{"date-parts":[["2022",5,27]]}}}],"schema":"https://github.com/citation-style-language/schema/raw/master/csl-citation.json"} </w:instrText>
      </w:r>
      <w:r w:rsidR="00ED40C4">
        <w:rPr>
          <w:rFonts w:ascii="Times New Roman" w:eastAsia="Arial" w:hAnsi="Times New Roman" w:cs="Times New Roman"/>
          <w:sz w:val="24"/>
          <w:szCs w:val="24"/>
        </w:rPr>
        <w:fldChar w:fldCharType="separate"/>
      </w:r>
      <w:r w:rsidR="00ED40C4" w:rsidRPr="00ED40C4">
        <w:rPr>
          <w:rFonts w:ascii="Times New Roman" w:hAnsi="Times New Roman" w:cs="Times New Roman"/>
          <w:sz w:val="24"/>
        </w:rPr>
        <w:t>(Trammell</w:t>
      </w:r>
      <w:r w:rsidR="00ED40C4">
        <w:rPr>
          <w:rFonts w:ascii="Times New Roman" w:hAnsi="Times New Roman" w:cs="Times New Roman"/>
          <w:sz w:val="24"/>
        </w:rPr>
        <w:t xml:space="preserve"> 244</w:t>
      </w:r>
      <w:r w:rsidR="00ED40C4" w:rsidRPr="00ED40C4">
        <w:rPr>
          <w:rFonts w:ascii="Times New Roman" w:hAnsi="Times New Roman" w:cs="Times New Roman"/>
          <w:sz w:val="24"/>
        </w:rPr>
        <w:t>)</w:t>
      </w:r>
      <w:r w:rsidR="00ED40C4">
        <w:rPr>
          <w:rFonts w:ascii="Times New Roman" w:eastAsia="Arial" w:hAnsi="Times New Roman" w:cs="Times New Roman"/>
          <w:sz w:val="24"/>
          <w:szCs w:val="24"/>
        </w:rPr>
        <w:fldChar w:fldCharType="end"/>
      </w:r>
      <w:r w:rsidR="00ED40C4">
        <w:rPr>
          <w:rFonts w:ascii="Times New Roman" w:eastAsia="Arial" w:hAnsi="Times New Roman" w:cs="Times New Roman"/>
          <w:sz w:val="24"/>
          <w:szCs w:val="24"/>
        </w:rPr>
        <w:t>.</w:t>
      </w:r>
    </w:p>
    <w:p w14:paraId="2F36AF54" w14:textId="06FB8824" w:rsidR="009C4258" w:rsidRPr="00ED40C4" w:rsidRDefault="00000000" w:rsidP="00ED40C4">
      <w:pPr>
        <w:autoSpaceDE w:val="0"/>
        <w:autoSpaceDN w:val="0"/>
        <w:adjustRightInd w:val="0"/>
        <w:spacing w:after="0" w:line="480" w:lineRule="auto"/>
        <w:ind w:firstLine="720"/>
        <w:contextualSpacing/>
        <w:rPr>
          <w:rFonts w:ascii="Times New Roman" w:eastAsia="Arial" w:hAnsi="Times New Roman" w:cs="Times New Roman"/>
          <w:color w:val="000000"/>
          <w:sz w:val="24"/>
          <w:szCs w:val="24"/>
        </w:rPr>
      </w:pPr>
      <w:r w:rsidRPr="00ED40C4">
        <w:rPr>
          <w:rFonts w:ascii="Times New Roman" w:eastAsia="Arial" w:hAnsi="Times New Roman" w:cs="Times New Roman"/>
          <w:color w:val="000000"/>
          <w:sz w:val="24"/>
          <w:szCs w:val="24"/>
        </w:rPr>
        <w:t xml:space="preserve">In terms of both its indigenous peoples and other minorities, contemporary Japan has often done a poor job of acknowledging its colonial past. </w:t>
      </w:r>
      <w:r w:rsidR="009C4258" w:rsidRPr="00ED40C4">
        <w:rPr>
          <w:rFonts w:ascii="Times New Roman" w:eastAsia="Arial" w:hAnsi="Times New Roman" w:cs="Times New Roman"/>
          <w:color w:val="000000"/>
          <w:sz w:val="24"/>
          <w:szCs w:val="24"/>
        </w:rPr>
        <w:t xml:space="preserve">It wasn’t until 2008 that the </w:t>
      </w:r>
      <w:r w:rsidRPr="00ED40C4">
        <w:rPr>
          <w:rFonts w:ascii="Times New Roman" w:eastAsia="Arial" w:hAnsi="Times New Roman" w:cs="Times New Roman"/>
          <w:color w:val="000000"/>
          <w:sz w:val="24"/>
          <w:szCs w:val="24"/>
        </w:rPr>
        <w:t xml:space="preserve">Ainu people received </w:t>
      </w:r>
      <w:r w:rsidR="009C4258" w:rsidRPr="00ED40C4">
        <w:rPr>
          <w:rFonts w:ascii="Times New Roman" w:eastAsia="Arial" w:hAnsi="Times New Roman" w:cs="Times New Roman"/>
          <w:color w:val="000000"/>
          <w:sz w:val="24"/>
          <w:szCs w:val="24"/>
        </w:rPr>
        <w:t xml:space="preserve">the promise of </w:t>
      </w:r>
      <w:r w:rsidRPr="00ED40C4">
        <w:rPr>
          <w:rFonts w:ascii="Times New Roman" w:eastAsia="Arial" w:hAnsi="Times New Roman" w:cs="Times New Roman"/>
          <w:color w:val="000000"/>
          <w:sz w:val="24"/>
          <w:szCs w:val="24"/>
        </w:rPr>
        <w:t>recognition from the Japanese government in that distinguished them as an indigenous people.</w:t>
      </w:r>
      <w:r w:rsidR="009C4258" w:rsidRPr="00ED40C4">
        <w:rPr>
          <w:rFonts w:ascii="Times New Roman" w:eastAsia="Arial" w:hAnsi="Times New Roman" w:cs="Times New Roman"/>
          <w:color w:val="000000"/>
          <w:sz w:val="24"/>
          <w:szCs w:val="24"/>
        </w:rPr>
        <w:t xml:space="preserve"> While this was a fantastic first step, this decision was primarily motivated by external pressures, including international attention placed on Hokkaido when the 34</w:t>
      </w:r>
      <w:r w:rsidR="009C4258" w:rsidRPr="00ED40C4">
        <w:rPr>
          <w:rFonts w:ascii="Times New Roman" w:eastAsia="Arial" w:hAnsi="Times New Roman" w:cs="Times New Roman"/>
          <w:color w:val="000000"/>
          <w:sz w:val="24"/>
          <w:szCs w:val="24"/>
          <w:vertAlign w:val="superscript"/>
        </w:rPr>
        <w:t>th</w:t>
      </w:r>
      <w:r w:rsidR="009C4258" w:rsidRPr="00ED40C4">
        <w:rPr>
          <w:rFonts w:ascii="Times New Roman" w:eastAsia="Arial" w:hAnsi="Times New Roman" w:cs="Times New Roman"/>
          <w:color w:val="000000"/>
          <w:sz w:val="24"/>
          <w:szCs w:val="24"/>
        </w:rPr>
        <w:t xml:space="preserve"> G8 Summit was held there in 2008. According to Lewallen: </w:t>
      </w:r>
    </w:p>
    <w:p w14:paraId="27DA3404" w14:textId="3A82243E" w:rsidR="002538C7" w:rsidRDefault="009C4258" w:rsidP="009C4258">
      <w:pPr>
        <w:autoSpaceDE w:val="0"/>
        <w:autoSpaceDN w:val="0"/>
        <w:adjustRightInd w:val="0"/>
        <w:spacing w:after="0" w:line="240" w:lineRule="auto"/>
        <w:ind w:left="1440"/>
        <w:rPr>
          <w:rFonts w:ascii="Times New Roman" w:eastAsia="Arial" w:hAnsi="Times New Roman" w:cs="Times New Roman"/>
          <w:color w:val="000000"/>
          <w:sz w:val="24"/>
          <w:szCs w:val="24"/>
        </w:rPr>
      </w:pPr>
      <w:r w:rsidRPr="00ED40C4">
        <w:rPr>
          <w:rFonts w:ascii="Times New Roman" w:eastAsia="Arial" w:hAnsi="Times New Roman" w:cs="Times New Roman"/>
          <w:color w:val="000000"/>
          <w:sz w:val="24"/>
          <w:szCs w:val="24"/>
        </w:rPr>
        <w:t>“</w:t>
      </w:r>
      <w:r w:rsidRPr="00ED40C4">
        <w:rPr>
          <w:rFonts w:ascii="Times New Roman" w:hAnsi="Times New Roman" w:cs="Times New Roman"/>
          <w:color w:val="212121"/>
          <w:sz w:val="24"/>
          <w:szCs w:val="24"/>
        </w:rPr>
        <w:t>Expecting that Ainu groups might orchestrate protests in downtown Sapporo or Tokyo thereby exposing the bankruptcy of Japan’s progressive stance on social issues – especially concerning human rights legislation – many have argued the Diet adopted the Resolution to avoid a public shaming before the world community. Legislators were concerned that if Japan, the world’s second largest economy and an aspiring leader among so-called advanced nations, were held to international standards for human rights, it would rank embarrassingly low on the global scale,”</w:t>
      </w:r>
      <w:r w:rsidR="00ED40C4">
        <w:rPr>
          <w:rFonts w:ascii="Times New Roman" w:hAnsi="Times New Roman" w:cs="Times New Roman"/>
          <w:color w:val="212121"/>
          <w:sz w:val="24"/>
          <w:szCs w:val="24"/>
        </w:rPr>
        <w:t xml:space="preserve"> </w:t>
      </w:r>
      <w:r w:rsidR="00ED40C4">
        <w:rPr>
          <w:rFonts w:ascii="Times New Roman" w:hAnsi="Times New Roman" w:cs="Times New Roman"/>
          <w:color w:val="212121"/>
          <w:sz w:val="24"/>
          <w:szCs w:val="24"/>
        </w:rPr>
        <w:fldChar w:fldCharType="begin"/>
      </w:r>
      <w:r w:rsidR="00ED40C4">
        <w:rPr>
          <w:rFonts w:ascii="Times New Roman" w:hAnsi="Times New Roman" w:cs="Times New Roman"/>
          <w:color w:val="212121"/>
          <w:sz w:val="24"/>
          <w:szCs w:val="24"/>
        </w:rPr>
        <w:instrText xml:space="preserve"> ADDIN ZOTERO_ITEM CSL_CITATION {"citationID":"ToFtLaW0","properties":{"formattedCitation":"(Journal)","plainCitation":"(Journal)","noteIndex":0},"citationItems":[{"id":147,"uris":["http://zotero.org/users/9920863/items/EJ2NFBNJ"],"itemData":{"id":147,"type":"webpage","abstract":"Indigenous at last! \nAinu Grassroots Organizing and the Indigenous Peoples Summit in Ainu Mosir\nann-elise lewallen&amp;nbsp;&amp;nbsp;&amp;nbsp;&amp;nbsp;&amp;nbsp;&amp;nbsp;&amp;nbsp;&amp;nbsp;&amp;nbsp;&amp;nbsp;&amp;nbsp;&amp;nbsp;&amp;nbsp;&amp;nbsp;&amp;n","container-title":"The Asia-Pacific Journal: Japan Focus","language":"en","title":"Indigenous at last! Ainu Grassroots Organizing and the Indigenous Peoples Summit in Ainu Mosir","URL":"https://apjjf.org/-ann-elise-lewallen/2971/article.html","author":[{"family":"Journal","given":"The Asia Pacific"}],"accessed":{"date-parts":[["2022",9,22]]}}}],"schema":"https://github.com/citation-style-language/schema/raw/master/csl-citation.json"} </w:instrText>
      </w:r>
      <w:r w:rsidR="00ED40C4">
        <w:rPr>
          <w:rFonts w:ascii="Times New Roman" w:hAnsi="Times New Roman" w:cs="Times New Roman"/>
          <w:color w:val="212121"/>
          <w:sz w:val="24"/>
          <w:szCs w:val="24"/>
        </w:rPr>
        <w:fldChar w:fldCharType="separate"/>
      </w:r>
      <w:r w:rsidR="00ED40C4" w:rsidRPr="00ED40C4">
        <w:rPr>
          <w:rFonts w:ascii="Times New Roman" w:hAnsi="Times New Roman" w:cs="Times New Roman"/>
          <w:sz w:val="24"/>
        </w:rPr>
        <w:t>(</w:t>
      </w:r>
      <w:r w:rsidR="00ED40C4">
        <w:rPr>
          <w:rFonts w:ascii="Times New Roman" w:hAnsi="Times New Roman" w:cs="Times New Roman"/>
          <w:sz w:val="24"/>
        </w:rPr>
        <w:t>Lewallen 1</w:t>
      </w:r>
      <w:r w:rsidR="00ED40C4" w:rsidRPr="00ED40C4">
        <w:rPr>
          <w:rFonts w:ascii="Times New Roman" w:hAnsi="Times New Roman" w:cs="Times New Roman"/>
          <w:sz w:val="24"/>
        </w:rPr>
        <w:t>)</w:t>
      </w:r>
      <w:r w:rsidR="00ED40C4">
        <w:rPr>
          <w:rFonts w:ascii="Times New Roman" w:hAnsi="Times New Roman" w:cs="Times New Roman"/>
          <w:color w:val="212121"/>
          <w:sz w:val="24"/>
          <w:szCs w:val="24"/>
        </w:rPr>
        <w:fldChar w:fldCharType="end"/>
      </w:r>
      <w:r w:rsidR="00ED40C4">
        <w:rPr>
          <w:rFonts w:ascii="Times New Roman" w:hAnsi="Times New Roman" w:cs="Times New Roman"/>
          <w:color w:val="212121"/>
          <w:sz w:val="24"/>
          <w:szCs w:val="24"/>
        </w:rPr>
        <w:t>.</w:t>
      </w:r>
      <w:r w:rsidRPr="00ED40C4">
        <w:rPr>
          <w:rFonts w:ascii="Times New Roman" w:hAnsi="Times New Roman" w:cs="Times New Roman"/>
          <w:color w:val="212121"/>
          <w:sz w:val="24"/>
          <w:szCs w:val="24"/>
        </w:rPr>
        <w:t xml:space="preserve"> </w:t>
      </w:r>
      <w:r w:rsidRPr="00ED40C4">
        <w:rPr>
          <w:rFonts w:ascii="Times New Roman" w:eastAsia="Arial" w:hAnsi="Times New Roman" w:cs="Times New Roman"/>
          <w:color w:val="000000"/>
          <w:sz w:val="24"/>
          <w:szCs w:val="24"/>
        </w:rPr>
        <w:t xml:space="preserve">  </w:t>
      </w:r>
    </w:p>
    <w:p w14:paraId="25C5684C" w14:textId="77777777" w:rsidR="00ED40C4" w:rsidRPr="00ED40C4" w:rsidRDefault="00ED40C4" w:rsidP="009C4258">
      <w:pPr>
        <w:autoSpaceDE w:val="0"/>
        <w:autoSpaceDN w:val="0"/>
        <w:adjustRightInd w:val="0"/>
        <w:spacing w:after="0" w:line="240" w:lineRule="auto"/>
        <w:ind w:left="1440"/>
        <w:rPr>
          <w:rFonts w:ascii="Times New Roman" w:hAnsi="Times New Roman" w:cs="Times New Roman"/>
          <w:color w:val="212121"/>
          <w:sz w:val="24"/>
          <w:szCs w:val="24"/>
        </w:rPr>
      </w:pPr>
    </w:p>
    <w:p w14:paraId="1A3F9361" w14:textId="3B4CD1AD" w:rsidR="009C4258" w:rsidRPr="00ED40C4" w:rsidRDefault="00000000" w:rsidP="00ED40C4">
      <w:pPr>
        <w:spacing w:after="0" w:line="480" w:lineRule="auto"/>
        <w:ind w:firstLine="720"/>
        <w:contextualSpacing/>
        <w:rPr>
          <w:rFonts w:ascii="Times New Roman" w:eastAsia="Arial" w:hAnsi="Times New Roman" w:cs="Times New Roman"/>
          <w:color w:val="000000"/>
          <w:sz w:val="24"/>
          <w:szCs w:val="24"/>
        </w:rPr>
      </w:pPr>
      <w:r w:rsidRPr="00ED40C4">
        <w:rPr>
          <w:rFonts w:ascii="Times New Roman" w:eastAsia="Arial" w:hAnsi="Times New Roman" w:cs="Times New Roman"/>
          <w:color w:val="000000"/>
          <w:sz w:val="24"/>
          <w:szCs w:val="24"/>
        </w:rPr>
        <w:t>The history of these people, and of ethnic and cultural minorities in Japan, many of which were created by the displacement of peoples due to Imperial Japan’s colonization of the Pacific, are still not widely known either in or outside of Japan.</w:t>
      </w:r>
      <w:r w:rsidR="00541EBB" w:rsidRPr="00ED40C4">
        <w:rPr>
          <w:rFonts w:ascii="Times New Roman" w:eastAsia="Arial" w:hAnsi="Times New Roman" w:cs="Times New Roman"/>
          <w:color w:val="000000"/>
          <w:sz w:val="24"/>
          <w:szCs w:val="24"/>
        </w:rPr>
        <w:t xml:space="preserve"> Progress within Japan is also slow going.</w:t>
      </w:r>
      <w:r w:rsidR="009C4258" w:rsidRPr="00ED40C4">
        <w:rPr>
          <w:rFonts w:ascii="Times New Roman" w:eastAsia="Arial" w:hAnsi="Times New Roman" w:cs="Times New Roman"/>
          <w:color w:val="000000"/>
          <w:sz w:val="24"/>
          <w:szCs w:val="24"/>
        </w:rPr>
        <w:t xml:space="preserve"> In terms of post-2008 development of Ainu issues in Japan, in 2017, the Ainu were symbolically included in the Olympics. It was not until 2019, however, that the first piece of legislation bearing reference to the 2008 </w:t>
      </w:r>
      <w:r w:rsidR="00541EBB" w:rsidRPr="00ED40C4">
        <w:rPr>
          <w:rFonts w:ascii="Times New Roman" w:eastAsia="Arial" w:hAnsi="Times New Roman" w:cs="Times New Roman"/>
          <w:color w:val="000000"/>
          <w:sz w:val="24"/>
          <w:szCs w:val="24"/>
        </w:rPr>
        <w:t xml:space="preserve">decision to acknowledge the Ainu people as an indigenous people of Japan. According to the English edition of the Japan Times, the 2019 legislation included calls to support local economies and promote tourism to Ainu areas, with the intention of remediating income and educational achievement gaps that exist between the Ainu and </w:t>
      </w:r>
      <w:proofErr w:type="spellStart"/>
      <w:r w:rsidR="00541EBB" w:rsidRPr="00ED40C4">
        <w:rPr>
          <w:rFonts w:ascii="Times New Roman" w:eastAsia="Arial" w:hAnsi="Times New Roman" w:cs="Times New Roman"/>
          <w:color w:val="000000"/>
          <w:sz w:val="24"/>
          <w:szCs w:val="24"/>
        </w:rPr>
        <w:t>Wajin</w:t>
      </w:r>
      <w:proofErr w:type="spellEnd"/>
      <w:r w:rsidR="00541EBB" w:rsidRPr="00ED40C4">
        <w:rPr>
          <w:rFonts w:ascii="Times New Roman" w:eastAsia="Arial" w:hAnsi="Times New Roman" w:cs="Times New Roman"/>
          <w:color w:val="000000"/>
          <w:sz w:val="24"/>
          <w:szCs w:val="24"/>
        </w:rPr>
        <w:t xml:space="preserve"> (‘mainstream Japanese’) populations (Japan Times). </w:t>
      </w:r>
      <w:r w:rsidRPr="00ED40C4">
        <w:rPr>
          <w:rFonts w:ascii="Times New Roman" w:eastAsia="Arial" w:hAnsi="Times New Roman" w:cs="Times New Roman"/>
          <w:color w:val="000000"/>
          <w:sz w:val="24"/>
          <w:szCs w:val="24"/>
        </w:rPr>
        <w:t xml:space="preserve">    </w:t>
      </w:r>
    </w:p>
    <w:p w14:paraId="78DE9198" w14:textId="50CE2B99" w:rsidR="009F44BB" w:rsidRDefault="00A7768C" w:rsidP="00ED40C4">
      <w:pPr>
        <w:spacing w:line="480" w:lineRule="auto"/>
        <w:ind w:firstLine="720"/>
        <w:contextualSpacing/>
        <w:rPr>
          <w:rFonts w:ascii="Times New Roman" w:hAnsi="Times New Roman" w:cs="Times New Roman"/>
          <w:sz w:val="24"/>
          <w:szCs w:val="24"/>
        </w:rPr>
      </w:pPr>
      <w:r w:rsidRPr="00ED40C4">
        <w:rPr>
          <w:rFonts w:ascii="Times New Roman" w:eastAsia="Arial" w:hAnsi="Times New Roman" w:cs="Times New Roman"/>
          <w:color w:val="000000"/>
          <w:sz w:val="24"/>
          <w:szCs w:val="24"/>
        </w:rPr>
        <w:lastRenderedPageBreak/>
        <w:t>Isn’t it enough that the indigenous people of Hokkaido are given perhaps a passing nod in the clothing of the Diamond and Pearl Clans?</w:t>
      </w:r>
      <w:r w:rsidR="009F44BB" w:rsidRPr="00ED40C4">
        <w:rPr>
          <w:rFonts w:ascii="Times New Roman" w:eastAsia="Arial" w:hAnsi="Times New Roman" w:cs="Times New Roman"/>
          <w:color w:val="000000"/>
          <w:sz w:val="24"/>
          <w:szCs w:val="24"/>
        </w:rPr>
        <w:t xml:space="preserve"> While this is perhaps a start, we must remember that in order to adopt a postcolonial approach to game studies, we “must begin by centering people, not games,” </w:t>
      </w:r>
      <w:r w:rsidR="00ED40C4">
        <w:rPr>
          <w:rFonts w:ascii="Times New Roman" w:eastAsia="Arial" w:hAnsi="Times New Roman" w:cs="Times New Roman"/>
          <w:color w:val="000000"/>
          <w:sz w:val="24"/>
          <w:szCs w:val="24"/>
        </w:rPr>
        <w:fldChar w:fldCharType="begin"/>
      </w:r>
      <w:r w:rsidR="00ED40C4">
        <w:rPr>
          <w:rFonts w:ascii="Times New Roman" w:eastAsia="Arial" w:hAnsi="Times New Roman" w:cs="Times New Roman"/>
          <w:color w:val="000000"/>
          <w:sz w:val="24"/>
          <w:szCs w:val="24"/>
        </w:rPr>
        <w:instrText xml:space="preserve"> ADDIN ZOTERO_ITEM CSL_CITATION {"citationID":"BhU0L3t5","properties":{"formattedCitation":"(Trammell)","plainCitation":"(Trammell)","noteIndex":0},"citationItems":[{"id":175,"uris":["http://zotero.org/users/9920863/items/H3N2NWIQ"],"itemData":{"id":175,"type":"article-journal","abstract":"The past five years have seen the development of what Mukherjee, S. (2018. Playing subaltern: Video games and postcolonialism. Games and Culture, 13(5), 504–520) and Murray, S. (2018. The work of postcolonial game studies in the play of culture. Open Library of Humanities, 4(1), 1–25) (amongst others) term postcolonial game studies. Postcolonial game studies looks at how games represent colonial and postcolonial environments in the story worlds they present, and also considers how these games are consumed by players in postcolonial nations. Fittingly, it is a critique both of how games reproduce colonial tropes. In this essay, I argue that the work of decolonizing games requires that we also decolonize play. Here I shall argue that the foundational theories of play that game scholarship is predicated upon are built upon a racist and xenophobic binary that pits civilization against barbarism. This binary is a consequence of a white European canon of game studies scholarship that has supported a grand theory of play apprehended only through an etic lens. If we are to consider the future of game studies, I think we should work to decolonize play. Crucially, we must attend to how Black, Indigenous, and people of color (BIPOC) play globally and consider the many other ways—beyond merely games—that this play is articulated.","container-title":"Critical Studies in Media Communication","DOI":"10.1080/15295036.2022.2080844","ISSN":"1529-5036","issue":"3","note":"publisher: Routledge\n_eprint: https://doi.org/10.1080/15295036.2022.2080844","page":"239-246","source":"Taylor and Francis+NEJM","title":"Decolonizing play","volume":"39","author":[{"family":"Trammell","given":"Aaron"}],"issued":{"date-parts":[["2022",5,27]]}}}],"schema":"https://github.com/citation-style-language/schema/raw/master/csl-citation.json"} </w:instrText>
      </w:r>
      <w:r w:rsidR="00ED40C4">
        <w:rPr>
          <w:rFonts w:ascii="Times New Roman" w:eastAsia="Arial" w:hAnsi="Times New Roman" w:cs="Times New Roman"/>
          <w:color w:val="000000"/>
          <w:sz w:val="24"/>
          <w:szCs w:val="24"/>
        </w:rPr>
        <w:fldChar w:fldCharType="separate"/>
      </w:r>
      <w:r w:rsidR="00ED40C4" w:rsidRPr="00ED40C4">
        <w:rPr>
          <w:rFonts w:ascii="Times New Roman" w:hAnsi="Times New Roman" w:cs="Times New Roman"/>
          <w:sz w:val="24"/>
        </w:rPr>
        <w:t>(Trammell</w:t>
      </w:r>
      <w:r w:rsidR="00ED40C4">
        <w:rPr>
          <w:rFonts w:ascii="Times New Roman" w:hAnsi="Times New Roman" w:cs="Times New Roman"/>
          <w:sz w:val="24"/>
        </w:rPr>
        <w:t xml:space="preserve"> 241</w:t>
      </w:r>
      <w:r w:rsidR="00ED40C4" w:rsidRPr="00ED40C4">
        <w:rPr>
          <w:rFonts w:ascii="Times New Roman" w:hAnsi="Times New Roman" w:cs="Times New Roman"/>
          <w:sz w:val="24"/>
        </w:rPr>
        <w:t>)</w:t>
      </w:r>
      <w:r w:rsidR="00ED40C4">
        <w:rPr>
          <w:rFonts w:ascii="Times New Roman" w:eastAsia="Arial" w:hAnsi="Times New Roman" w:cs="Times New Roman"/>
          <w:color w:val="000000"/>
          <w:sz w:val="24"/>
          <w:szCs w:val="24"/>
        </w:rPr>
        <w:fldChar w:fldCharType="end"/>
      </w:r>
      <w:r w:rsidR="00ED40C4">
        <w:rPr>
          <w:rFonts w:ascii="Times New Roman" w:eastAsia="Arial" w:hAnsi="Times New Roman" w:cs="Times New Roman"/>
          <w:color w:val="000000"/>
          <w:sz w:val="24"/>
          <w:szCs w:val="24"/>
        </w:rPr>
        <w:t xml:space="preserve">. </w:t>
      </w:r>
      <w:r w:rsidR="009F44BB" w:rsidRPr="00ED40C4">
        <w:rPr>
          <w:rFonts w:ascii="Times New Roman" w:eastAsia="Arial" w:hAnsi="Times New Roman" w:cs="Times New Roman"/>
          <w:color w:val="000000"/>
          <w:sz w:val="24"/>
          <w:szCs w:val="24"/>
        </w:rPr>
        <w:t>While Trammell intended this warning to pertain to play as “</w:t>
      </w:r>
      <w:r w:rsidR="009F44BB" w:rsidRPr="00ED40C4">
        <w:rPr>
          <w:rFonts w:ascii="Times New Roman" w:hAnsi="Times New Roman" w:cs="Times New Roman"/>
          <w:sz w:val="24"/>
          <w:szCs w:val="24"/>
        </w:rPr>
        <w:t>is active, embodied, and agential,” and less to the content of video games</w:t>
      </w:r>
      <w:r w:rsidR="00736840" w:rsidRPr="00ED40C4">
        <w:rPr>
          <w:rFonts w:ascii="Times New Roman" w:hAnsi="Times New Roman" w:cs="Times New Roman"/>
          <w:sz w:val="24"/>
          <w:szCs w:val="24"/>
        </w:rPr>
        <w:t xml:space="preserve">, the logic follows that if the culture of a real, marginalized people are to appear in a game, those people should be centered. Half-baked forms of almost representation or questions about whether the non-human characters can constitute a replacement for human ones are not enough. </w:t>
      </w:r>
    </w:p>
    <w:p w14:paraId="106B7556" w14:textId="25A958B2" w:rsidR="00ED40C4" w:rsidRDefault="00ED40C4" w:rsidP="00ED40C4">
      <w:pPr>
        <w:spacing w:line="480" w:lineRule="auto"/>
        <w:ind w:firstLine="720"/>
        <w:contextualSpacing/>
        <w:rPr>
          <w:rFonts w:ascii="Times New Roman" w:hAnsi="Times New Roman" w:cs="Times New Roman"/>
          <w:sz w:val="24"/>
          <w:szCs w:val="24"/>
        </w:rPr>
      </w:pPr>
    </w:p>
    <w:p w14:paraId="6CBC6F4A" w14:textId="140666CB" w:rsidR="00ED40C4" w:rsidRDefault="00ED40C4" w:rsidP="00ED40C4">
      <w:pPr>
        <w:spacing w:line="480" w:lineRule="auto"/>
        <w:ind w:firstLine="720"/>
        <w:contextualSpacing/>
        <w:rPr>
          <w:rFonts w:ascii="Times New Roman" w:hAnsi="Times New Roman" w:cs="Times New Roman"/>
          <w:sz w:val="24"/>
          <w:szCs w:val="24"/>
        </w:rPr>
      </w:pPr>
    </w:p>
    <w:p w14:paraId="54A2256E" w14:textId="6B82C2D4" w:rsidR="00ED40C4" w:rsidRDefault="00ED40C4" w:rsidP="00ED40C4">
      <w:pPr>
        <w:spacing w:line="480" w:lineRule="auto"/>
        <w:ind w:firstLine="720"/>
        <w:contextualSpacing/>
        <w:rPr>
          <w:rFonts w:ascii="Times New Roman" w:hAnsi="Times New Roman" w:cs="Times New Roman"/>
          <w:sz w:val="24"/>
          <w:szCs w:val="24"/>
        </w:rPr>
      </w:pPr>
    </w:p>
    <w:p w14:paraId="12791F00" w14:textId="4BA710B3" w:rsidR="00ED40C4" w:rsidRDefault="00ED40C4" w:rsidP="00ED40C4">
      <w:pPr>
        <w:spacing w:line="480" w:lineRule="auto"/>
        <w:ind w:firstLine="720"/>
        <w:contextualSpacing/>
        <w:rPr>
          <w:rFonts w:ascii="Times New Roman" w:hAnsi="Times New Roman" w:cs="Times New Roman"/>
          <w:sz w:val="24"/>
          <w:szCs w:val="24"/>
        </w:rPr>
      </w:pPr>
    </w:p>
    <w:p w14:paraId="63388ABA" w14:textId="0B2EEA66" w:rsidR="00ED40C4" w:rsidRDefault="00ED40C4" w:rsidP="00ED40C4">
      <w:pPr>
        <w:spacing w:line="480" w:lineRule="auto"/>
        <w:ind w:firstLine="720"/>
        <w:contextualSpacing/>
        <w:rPr>
          <w:rFonts w:ascii="Times New Roman" w:hAnsi="Times New Roman" w:cs="Times New Roman"/>
          <w:sz w:val="24"/>
          <w:szCs w:val="24"/>
        </w:rPr>
      </w:pPr>
    </w:p>
    <w:p w14:paraId="21E302F4" w14:textId="1CF51173" w:rsidR="00ED40C4" w:rsidRDefault="00ED40C4" w:rsidP="00ED40C4">
      <w:pPr>
        <w:spacing w:line="480" w:lineRule="auto"/>
        <w:ind w:firstLine="720"/>
        <w:contextualSpacing/>
        <w:rPr>
          <w:rFonts w:ascii="Times New Roman" w:hAnsi="Times New Roman" w:cs="Times New Roman"/>
          <w:sz w:val="24"/>
          <w:szCs w:val="24"/>
        </w:rPr>
      </w:pPr>
    </w:p>
    <w:p w14:paraId="00AB3535" w14:textId="4324F038" w:rsidR="00ED40C4" w:rsidRDefault="00ED40C4" w:rsidP="00ED40C4">
      <w:pPr>
        <w:spacing w:line="480" w:lineRule="auto"/>
        <w:ind w:firstLine="720"/>
        <w:contextualSpacing/>
        <w:rPr>
          <w:rFonts w:ascii="Times New Roman" w:hAnsi="Times New Roman" w:cs="Times New Roman"/>
          <w:sz w:val="24"/>
          <w:szCs w:val="24"/>
        </w:rPr>
      </w:pPr>
    </w:p>
    <w:p w14:paraId="7B20767F" w14:textId="276EEFDB" w:rsidR="00ED40C4" w:rsidRDefault="00ED40C4" w:rsidP="00ED40C4">
      <w:pPr>
        <w:spacing w:line="480" w:lineRule="auto"/>
        <w:ind w:firstLine="720"/>
        <w:contextualSpacing/>
        <w:rPr>
          <w:rFonts w:ascii="Times New Roman" w:hAnsi="Times New Roman" w:cs="Times New Roman"/>
          <w:sz w:val="24"/>
          <w:szCs w:val="24"/>
        </w:rPr>
      </w:pPr>
    </w:p>
    <w:p w14:paraId="65F47900" w14:textId="6ED2EA09" w:rsidR="00ED40C4" w:rsidRDefault="00ED40C4" w:rsidP="00ED40C4">
      <w:pPr>
        <w:spacing w:line="480" w:lineRule="auto"/>
        <w:ind w:firstLine="720"/>
        <w:contextualSpacing/>
        <w:rPr>
          <w:rFonts w:ascii="Times New Roman" w:hAnsi="Times New Roman" w:cs="Times New Roman"/>
          <w:sz w:val="24"/>
          <w:szCs w:val="24"/>
        </w:rPr>
      </w:pPr>
    </w:p>
    <w:p w14:paraId="2C6950D5" w14:textId="5F4ED511" w:rsidR="00ED40C4" w:rsidRDefault="00ED40C4" w:rsidP="00ED40C4">
      <w:pPr>
        <w:spacing w:line="480" w:lineRule="auto"/>
        <w:ind w:firstLine="720"/>
        <w:contextualSpacing/>
        <w:rPr>
          <w:rFonts w:ascii="Times New Roman" w:hAnsi="Times New Roman" w:cs="Times New Roman"/>
          <w:sz w:val="24"/>
          <w:szCs w:val="24"/>
        </w:rPr>
      </w:pPr>
    </w:p>
    <w:p w14:paraId="6E50D746" w14:textId="2E5F7A10" w:rsidR="00ED40C4" w:rsidRDefault="00ED40C4" w:rsidP="00ED40C4">
      <w:pPr>
        <w:spacing w:line="480" w:lineRule="auto"/>
        <w:ind w:firstLine="720"/>
        <w:contextualSpacing/>
        <w:rPr>
          <w:rFonts w:ascii="Times New Roman" w:hAnsi="Times New Roman" w:cs="Times New Roman"/>
          <w:sz w:val="24"/>
          <w:szCs w:val="24"/>
        </w:rPr>
      </w:pPr>
    </w:p>
    <w:p w14:paraId="1FDA855E" w14:textId="1D3B1A8D" w:rsidR="00ED40C4" w:rsidRDefault="00ED40C4" w:rsidP="00ED40C4">
      <w:pPr>
        <w:spacing w:line="480" w:lineRule="auto"/>
        <w:ind w:firstLine="720"/>
        <w:contextualSpacing/>
        <w:rPr>
          <w:rFonts w:ascii="Times New Roman" w:hAnsi="Times New Roman" w:cs="Times New Roman"/>
          <w:sz w:val="24"/>
          <w:szCs w:val="24"/>
        </w:rPr>
      </w:pPr>
    </w:p>
    <w:p w14:paraId="7F765DEC" w14:textId="7AFE2A9B" w:rsidR="00ED40C4" w:rsidRDefault="00ED40C4" w:rsidP="00ED40C4">
      <w:pPr>
        <w:spacing w:line="480" w:lineRule="auto"/>
        <w:ind w:firstLine="720"/>
        <w:contextualSpacing/>
        <w:rPr>
          <w:rFonts w:ascii="Times New Roman" w:hAnsi="Times New Roman" w:cs="Times New Roman"/>
          <w:sz w:val="24"/>
          <w:szCs w:val="24"/>
        </w:rPr>
      </w:pPr>
    </w:p>
    <w:p w14:paraId="03B57087" w14:textId="62AA9407" w:rsidR="00ED40C4" w:rsidRDefault="00ED40C4" w:rsidP="00ED40C4">
      <w:pPr>
        <w:spacing w:line="480" w:lineRule="auto"/>
        <w:ind w:firstLine="720"/>
        <w:contextualSpacing/>
        <w:rPr>
          <w:rFonts w:ascii="Times New Roman" w:hAnsi="Times New Roman" w:cs="Times New Roman"/>
          <w:sz w:val="24"/>
          <w:szCs w:val="24"/>
        </w:rPr>
      </w:pPr>
    </w:p>
    <w:p w14:paraId="253D5FD0" w14:textId="77777777" w:rsidR="00ED40C4" w:rsidRDefault="00ED40C4" w:rsidP="00ED40C4">
      <w:pPr>
        <w:spacing w:line="480" w:lineRule="auto"/>
        <w:ind w:firstLine="720"/>
        <w:contextualSpacing/>
        <w:rPr>
          <w:rFonts w:ascii="Times New Roman" w:hAnsi="Times New Roman" w:cs="Times New Roman"/>
          <w:sz w:val="24"/>
          <w:szCs w:val="24"/>
        </w:rPr>
      </w:pPr>
    </w:p>
    <w:p w14:paraId="441603EA" w14:textId="4ECDBEF4" w:rsidR="00ED40C4" w:rsidRPr="00ED40C4" w:rsidRDefault="00ED40C4" w:rsidP="00ED40C4">
      <w:pPr>
        <w:spacing w:line="480" w:lineRule="auto"/>
        <w:ind w:firstLine="720"/>
        <w:contextualSpacing/>
        <w:jc w:val="center"/>
        <w:rPr>
          <w:rFonts w:ascii="Times New Roman" w:hAnsi="Times New Roman" w:cs="Times New Roman"/>
          <w:sz w:val="24"/>
          <w:szCs w:val="24"/>
        </w:rPr>
      </w:pPr>
      <w:r w:rsidRPr="00ED40C4">
        <w:rPr>
          <w:rFonts w:ascii="Times New Roman" w:hAnsi="Times New Roman" w:cs="Times New Roman"/>
          <w:sz w:val="24"/>
          <w:szCs w:val="24"/>
        </w:rPr>
        <w:lastRenderedPageBreak/>
        <w:t>Works Cited</w:t>
      </w:r>
    </w:p>
    <w:p w14:paraId="45D0597A" w14:textId="77777777" w:rsidR="00ED40C4" w:rsidRPr="00ED40C4" w:rsidRDefault="00ED40C4" w:rsidP="00ED40C4">
      <w:pPr>
        <w:pStyle w:val="Bibliography"/>
        <w:rPr>
          <w:rFonts w:ascii="Times New Roman" w:hAnsi="Times New Roman" w:cs="Times New Roman"/>
          <w:sz w:val="24"/>
          <w:szCs w:val="24"/>
        </w:rPr>
      </w:pPr>
      <w:r w:rsidRPr="00ED40C4">
        <w:rPr>
          <w:rFonts w:ascii="Times New Roman" w:hAnsi="Times New Roman" w:cs="Times New Roman"/>
          <w:sz w:val="24"/>
          <w:szCs w:val="24"/>
        </w:rPr>
        <w:fldChar w:fldCharType="begin"/>
      </w:r>
      <w:r w:rsidRPr="00ED40C4">
        <w:rPr>
          <w:rFonts w:ascii="Times New Roman" w:hAnsi="Times New Roman" w:cs="Times New Roman"/>
          <w:sz w:val="24"/>
          <w:szCs w:val="24"/>
        </w:rPr>
        <w:instrText xml:space="preserve"> ADDIN ZOTERO_BIBL {"uncited":[],"omitted":[],"custom":[]} CSL_BIBLIOGRAPHY </w:instrText>
      </w:r>
      <w:r w:rsidRPr="00ED40C4">
        <w:rPr>
          <w:rFonts w:ascii="Times New Roman" w:hAnsi="Times New Roman" w:cs="Times New Roman"/>
          <w:sz w:val="24"/>
          <w:szCs w:val="24"/>
        </w:rPr>
        <w:fldChar w:fldCharType="separate"/>
      </w:r>
      <w:r w:rsidRPr="00ED40C4">
        <w:rPr>
          <w:rFonts w:ascii="Times New Roman" w:hAnsi="Times New Roman" w:cs="Times New Roman"/>
          <w:sz w:val="24"/>
          <w:szCs w:val="24"/>
        </w:rPr>
        <w:t xml:space="preserve">Bogost, Ian. </w:t>
      </w:r>
      <w:r w:rsidRPr="00ED40C4">
        <w:rPr>
          <w:rFonts w:ascii="Times New Roman" w:hAnsi="Times New Roman" w:cs="Times New Roman"/>
          <w:i/>
          <w:iCs/>
          <w:sz w:val="24"/>
          <w:szCs w:val="24"/>
        </w:rPr>
        <w:t>Rhetoric of Video Games</w:t>
      </w:r>
      <w:r w:rsidRPr="00ED40C4">
        <w:rPr>
          <w:rFonts w:ascii="Times New Roman" w:hAnsi="Times New Roman" w:cs="Times New Roman"/>
          <w:sz w:val="24"/>
          <w:szCs w:val="24"/>
        </w:rPr>
        <w:t>. 2007.</w:t>
      </w:r>
    </w:p>
    <w:p w14:paraId="65057E0D" w14:textId="658F982F" w:rsidR="00ED40C4" w:rsidRPr="00ED40C4" w:rsidRDefault="00ED40C4" w:rsidP="00ED40C4">
      <w:pPr>
        <w:pStyle w:val="Bibliography"/>
        <w:rPr>
          <w:rFonts w:ascii="Times New Roman" w:hAnsi="Times New Roman" w:cs="Times New Roman"/>
          <w:sz w:val="24"/>
          <w:szCs w:val="24"/>
        </w:rPr>
      </w:pPr>
      <w:r w:rsidRPr="00ED40C4">
        <w:rPr>
          <w:rFonts w:ascii="Times New Roman" w:hAnsi="Times New Roman" w:cs="Times New Roman"/>
          <w:sz w:val="24"/>
          <w:szCs w:val="24"/>
        </w:rPr>
        <w:t xml:space="preserve">Lewallen.  “Indigenous at Last! Ainu Grassroots Organizing and the Indigenous Peoples Summit in Ainu Mosir.” </w:t>
      </w:r>
      <w:r w:rsidRPr="00ED40C4">
        <w:rPr>
          <w:rFonts w:ascii="Times New Roman" w:hAnsi="Times New Roman" w:cs="Times New Roman"/>
          <w:i/>
          <w:iCs/>
          <w:sz w:val="24"/>
          <w:szCs w:val="24"/>
        </w:rPr>
        <w:t>The Asia-Pacific Journal: Japan Focus</w:t>
      </w:r>
      <w:r w:rsidRPr="00ED40C4">
        <w:rPr>
          <w:rFonts w:ascii="Times New Roman" w:hAnsi="Times New Roman" w:cs="Times New Roman"/>
          <w:sz w:val="24"/>
          <w:szCs w:val="24"/>
        </w:rPr>
        <w:t xml:space="preserve">. </w:t>
      </w:r>
    </w:p>
    <w:p w14:paraId="1EC1A5AC" w14:textId="77777777" w:rsidR="00ED40C4" w:rsidRPr="00ED40C4" w:rsidRDefault="00ED40C4" w:rsidP="00ED40C4">
      <w:pPr>
        <w:pStyle w:val="Bibliography"/>
        <w:rPr>
          <w:rFonts w:ascii="Times New Roman" w:hAnsi="Times New Roman" w:cs="Times New Roman"/>
          <w:sz w:val="24"/>
          <w:szCs w:val="24"/>
        </w:rPr>
      </w:pPr>
      <w:r w:rsidRPr="00ED40C4">
        <w:rPr>
          <w:rFonts w:ascii="Times New Roman" w:hAnsi="Times New Roman" w:cs="Times New Roman"/>
          <w:sz w:val="24"/>
          <w:szCs w:val="24"/>
        </w:rPr>
        <w:t xml:space="preserve">Steinkuehler, Constance A. “Why Game (Culture) Studies Now?” </w:t>
      </w:r>
      <w:r w:rsidRPr="00ED40C4">
        <w:rPr>
          <w:rFonts w:ascii="Times New Roman" w:hAnsi="Times New Roman" w:cs="Times New Roman"/>
          <w:i/>
          <w:iCs/>
          <w:sz w:val="24"/>
          <w:szCs w:val="24"/>
        </w:rPr>
        <w:t>Games and Culture</w:t>
      </w:r>
      <w:r w:rsidRPr="00ED40C4">
        <w:rPr>
          <w:rFonts w:ascii="Times New Roman" w:hAnsi="Times New Roman" w:cs="Times New Roman"/>
          <w:sz w:val="24"/>
          <w:szCs w:val="24"/>
        </w:rPr>
        <w:t xml:space="preserve">, vol. 1, no. 1, Jan. 2006, pp. 97–102. </w:t>
      </w:r>
      <w:r w:rsidRPr="00ED40C4">
        <w:rPr>
          <w:rFonts w:ascii="Times New Roman" w:hAnsi="Times New Roman" w:cs="Times New Roman"/>
          <w:i/>
          <w:iCs/>
          <w:sz w:val="24"/>
          <w:szCs w:val="24"/>
        </w:rPr>
        <w:t>SAGE Journals</w:t>
      </w:r>
      <w:r w:rsidRPr="00ED40C4">
        <w:rPr>
          <w:rFonts w:ascii="Times New Roman" w:hAnsi="Times New Roman" w:cs="Times New Roman"/>
          <w:sz w:val="24"/>
          <w:szCs w:val="24"/>
        </w:rPr>
        <w:t>, https://doi.org/10.1177/1555412005281911.</w:t>
      </w:r>
    </w:p>
    <w:p w14:paraId="05FD6F03" w14:textId="77777777" w:rsidR="00ED40C4" w:rsidRPr="00ED40C4" w:rsidRDefault="00ED40C4" w:rsidP="00ED40C4">
      <w:pPr>
        <w:pStyle w:val="Bibliography"/>
        <w:rPr>
          <w:rFonts w:ascii="Times New Roman" w:hAnsi="Times New Roman" w:cs="Times New Roman"/>
          <w:sz w:val="24"/>
          <w:szCs w:val="24"/>
        </w:rPr>
      </w:pPr>
      <w:r w:rsidRPr="00ED40C4">
        <w:rPr>
          <w:rFonts w:ascii="Times New Roman" w:hAnsi="Times New Roman" w:cs="Times New Roman"/>
          <w:sz w:val="24"/>
          <w:szCs w:val="24"/>
        </w:rPr>
        <w:t xml:space="preserve">Trammell, Aaron. “Decolonizing Play.” </w:t>
      </w:r>
      <w:r w:rsidRPr="00ED40C4">
        <w:rPr>
          <w:rFonts w:ascii="Times New Roman" w:hAnsi="Times New Roman" w:cs="Times New Roman"/>
          <w:i/>
          <w:iCs/>
          <w:sz w:val="24"/>
          <w:szCs w:val="24"/>
        </w:rPr>
        <w:t>Critical Studies in Media Communication</w:t>
      </w:r>
      <w:r w:rsidRPr="00ED40C4">
        <w:rPr>
          <w:rFonts w:ascii="Times New Roman" w:hAnsi="Times New Roman" w:cs="Times New Roman"/>
          <w:sz w:val="24"/>
          <w:szCs w:val="24"/>
        </w:rPr>
        <w:t xml:space="preserve">, vol. 39, no. 3, May 2022, pp. 239–46. </w:t>
      </w:r>
      <w:r w:rsidRPr="00ED40C4">
        <w:rPr>
          <w:rFonts w:ascii="Times New Roman" w:hAnsi="Times New Roman" w:cs="Times New Roman"/>
          <w:i/>
          <w:iCs/>
          <w:sz w:val="24"/>
          <w:szCs w:val="24"/>
        </w:rPr>
        <w:t>Taylor and Francis+NEJM</w:t>
      </w:r>
      <w:r w:rsidRPr="00ED40C4">
        <w:rPr>
          <w:rFonts w:ascii="Times New Roman" w:hAnsi="Times New Roman" w:cs="Times New Roman"/>
          <w:sz w:val="24"/>
          <w:szCs w:val="24"/>
        </w:rPr>
        <w:t>, https://doi.org/10.1080/15295036.2022.2080844.</w:t>
      </w:r>
    </w:p>
    <w:p w14:paraId="5EBF7DC4" w14:textId="528B6D5A" w:rsidR="009F44BB" w:rsidRDefault="00ED40C4" w:rsidP="009F44BB">
      <w:r w:rsidRPr="00ED40C4">
        <w:rPr>
          <w:rFonts w:ascii="Times New Roman" w:hAnsi="Times New Roman" w:cs="Times New Roman"/>
          <w:sz w:val="24"/>
          <w:szCs w:val="24"/>
        </w:rPr>
        <w:fldChar w:fldCharType="end"/>
      </w:r>
    </w:p>
    <w:sectPr w:rsidR="009F44BB">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A56E8" w14:textId="77777777" w:rsidR="00FF6550" w:rsidRDefault="00FF6550">
      <w:pPr>
        <w:spacing w:after="0" w:line="240" w:lineRule="auto"/>
      </w:pPr>
      <w:r>
        <w:separator/>
      </w:r>
    </w:p>
  </w:endnote>
  <w:endnote w:type="continuationSeparator" w:id="0">
    <w:p w14:paraId="289FE162" w14:textId="77777777" w:rsidR="00FF6550" w:rsidRDefault="00FF6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9" w14:textId="6F7CEC5E" w:rsidR="005A5E6F"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63F6D">
      <w:rPr>
        <w:noProof/>
        <w:color w:val="000000"/>
      </w:rPr>
      <w:t>1</w:t>
    </w:r>
    <w:r>
      <w:rPr>
        <w:color w:val="000000"/>
      </w:rPr>
      <w:fldChar w:fldCharType="end"/>
    </w:r>
  </w:p>
  <w:p w14:paraId="0000003A" w14:textId="77777777" w:rsidR="005A5E6F" w:rsidRDefault="005A5E6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F906B" w14:textId="77777777" w:rsidR="00FF6550" w:rsidRDefault="00FF6550">
      <w:pPr>
        <w:spacing w:after="0" w:line="240" w:lineRule="auto"/>
      </w:pPr>
      <w:r>
        <w:separator/>
      </w:r>
    </w:p>
  </w:footnote>
  <w:footnote w:type="continuationSeparator" w:id="0">
    <w:p w14:paraId="0A7D25EA" w14:textId="77777777" w:rsidR="00FF6550" w:rsidRDefault="00FF6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5" w14:textId="77777777" w:rsidR="005A5E6F" w:rsidRPr="00ED40C4" w:rsidRDefault="00000000">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4"/>
        <w:szCs w:val="24"/>
      </w:rPr>
    </w:pPr>
    <w:r w:rsidRPr="00ED40C4">
      <w:rPr>
        <w:rFonts w:ascii="Times New Roman" w:hAnsi="Times New Roman" w:cs="Times New Roman"/>
        <w:color w:val="000000"/>
        <w:sz w:val="24"/>
        <w:szCs w:val="24"/>
      </w:rPr>
      <w:t>Vee Kennedy</w:t>
    </w:r>
  </w:p>
  <w:p w14:paraId="00000036" w14:textId="77777777" w:rsidR="005A5E6F" w:rsidRPr="00ED40C4" w:rsidRDefault="00000000">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4"/>
        <w:szCs w:val="24"/>
      </w:rPr>
    </w:pPr>
    <w:r w:rsidRPr="00ED40C4">
      <w:rPr>
        <w:rFonts w:ascii="Times New Roman" w:hAnsi="Times New Roman" w:cs="Times New Roman"/>
        <w:color w:val="000000"/>
        <w:sz w:val="24"/>
        <w:szCs w:val="24"/>
      </w:rPr>
      <w:t>10/17/2022</w:t>
    </w:r>
  </w:p>
  <w:p w14:paraId="00000037" w14:textId="77777777" w:rsidR="005A5E6F" w:rsidRPr="00ED40C4" w:rsidRDefault="00000000">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4"/>
        <w:szCs w:val="24"/>
      </w:rPr>
    </w:pPr>
    <w:r w:rsidRPr="00ED40C4">
      <w:rPr>
        <w:rFonts w:ascii="Times New Roman" w:hAnsi="Times New Roman" w:cs="Times New Roman"/>
        <w:color w:val="000000"/>
        <w:sz w:val="24"/>
        <w:szCs w:val="24"/>
      </w:rPr>
      <w:t xml:space="preserve">ENG6800 </w:t>
    </w:r>
  </w:p>
  <w:p w14:paraId="00000038" w14:textId="77777777" w:rsidR="005A5E6F" w:rsidRPr="00ED40C4" w:rsidRDefault="00000000">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sz w:val="24"/>
        <w:szCs w:val="24"/>
      </w:rPr>
    </w:pPr>
    <w:r w:rsidRPr="00ED40C4">
      <w:rPr>
        <w:rFonts w:ascii="Times New Roman" w:hAnsi="Times New Roman" w:cs="Times New Roman"/>
        <w:color w:val="000000"/>
        <w:sz w:val="24"/>
        <w:szCs w:val="24"/>
      </w:rPr>
      <w:t>Dr. Salter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E6F"/>
    <w:rsid w:val="00024DE4"/>
    <w:rsid w:val="002350FF"/>
    <w:rsid w:val="002538C7"/>
    <w:rsid w:val="00505084"/>
    <w:rsid w:val="00541EBB"/>
    <w:rsid w:val="00557799"/>
    <w:rsid w:val="005A5E6F"/>
    <w:rsid w:val="005F6ACA"/>
    <w:rsid w:val="00663F6D"/>
    <w:rsid w:val="00736840"/>
    <w:rsid w:val="007C6A3B"/>
    <w:rsid w:val="008862C1"/>
    <w:rsid w:val="00895424"/>
    <w:rsid w:val="008F5BCC"/>
    <w:rsid w:val="009A76C5"/>
    <w:rsid w:val="009C4258"/>
    <w:rsid w:val="009F44BB"/>
    <w:rsid w:val="00A17208"/>
    <w:rsid w:val="00A51673"/>
    <w:rsid w:val="00A729A7"/>
    <w:rsid w:val="00A7768C"/>
    <w:rsid w:val="00C93DEB"/>
    <w:rsid w:val="00E363D1"/>
    <w:rsid w:val="00E86632"/>
    <w:rsid w:val="00ED40C4"/>
    <w:rsid w:val="00FF65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FD19"/>
  <w15:docId w15:val="{C63DF0FE-D11A-408F-9554-2F24FC1EF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F30B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F3747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37478"/>
    <w:rPr>
      <w:color w:val="0000FF"/>
      <w:u w:val="single"/>
    </w:rPr>
  </w:style>
  <w:style w:type="character" w:customStyle="1" w:styleId="screenreader-only">
    <w:name w:val="screenreader-only"/>
    <w:basedOn w:val="DefaultParagraphFont"/>
    <w:rsid w:val="00DA5F23"/>
  </w:style>
  <w:style w:type="character" w:customStyle="1" w:styleId="instructurefileholder">
    <w:name w:val="instructure_file_holder"/>
    <w:basedOn w:val="DefaultParagraphFont"/>
    <w:rsid w:val="00DA5F23"/>
  </w:style>
  <w:style w:type="paragraph" w:styleId="Header">
    <w:name w:val="header"/>
    <w:basedOn w:val="Normal"/>
    <w:link w:val="HeaderChar"/>
    <w:uiPriority w:val="99"/>
    <w:unhideWhenUsed/>
    <w:rsid w:val="007A69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9F8"/>
  </w:style>
  <w:style w:type="paragraph" w:styleId="Footer">
    <w:name w:val="footer"/>
    <w:basedOn w:val="Normal"/>
    <w:link w:val="FooterChar"/>
    <w:uiPriority w:val="99"/>
    <w:unhideWhenUsed/>
    <w:rsid w:val="007A69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9F8"/>
  </w:style>
  <w:style w:type="character" w:customStyle="1" w:styleId="Heading3Char">
    <w:name w:val="Heading 3 Char"/>
    <w:basedOn w:val="DefaultParagraphFont"/>
    <w:link w:val="Heading3"/>
    <w:uiPriority w:val="9"/>
    <w:rsid w:val="00F30B77"/>
    <w:rPr>
      <w:rFonts w:ascii="Times New Roman" w:eastAsia="Times New Roman" w:hAnsi="Times New Roman" w:cs="Times New Roman"/>
      <w:b/>
      <w:bCs/>
      <w:sz w:val="27"/>
      <w:szCs w:val="27"/>
    </w:rPr>
  </w:style>
  <w:style w:type="character" w:styleId="Emphasis">
    <w:name w:val="Emphasis"/>
    <w:basedOn w:val="DefaultParagraphFont"/>
    <w:uiPriority w:val="20"/>
    <w:qFormat/>
    <w:rsid w:val="00F30B77"/>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phy">
    <w:name w:val="Bibliography"/>
    <w:basedOn w:val="Normal"/>
    <w:next w:val="Normal"/>
    <w:uiPriority w:val="37"/>
    <w:unhideWhenUsed/>
    <w:rsid w:val="00ED40C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68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1IyfHZbRR9PV4KIA7zy4KicwVQ==">AMUW2mXcyfs18ZqCFufSN/8eXlRlbMGVW/G97SsSz38KbRe2vXCc8Dbr+xHso9WxXwRgEcjk63792EDsMF+BrXoroGnDajs/OMGG1JjpkfU+lv0rOMdDaBo=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4246</Words>
  <Characters>24204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 Kennedy</dc:creator>
  <cp:lastModifiedBy>Vee Kennedy</cp:lastModifiedBy>
  <cp:revision>6</cp:revision>
  <dcterms:created xsi:type="dcterms:W3CDTF">2022-10-17T18:27:00Z</dcterms:created>
  <dcterms:modified xsi:type="dcterms:W3CDTF">2022-11-07T14:57:00Z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zotero-version="6.0.15"&gt;&lt;session id="7B1361TD"/&gt;&lt;style id="http://www.zotero.org/styles/modern-language-association" locale="en-US" hasBibliography="1" bibliographyStyleHasBeenSet="1"/&gt;&lt;prefs&gt;&lt;pref name="fieldType" value="Field"/&gt;&lt;/</vt:lpwstr>
  </property>
  <property fmtid="{D5CDD505-2E9C-101B-9397-08002B2CF9AE}" pid="3" name="ZOTERO_PREF_2">
    <vt:lpwstr>prefs&gt;&lt;/data&gt;</vt:lpwstr>
  </property>
</Properties>
</file>