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Research Ethics Reflection</w:t>
      </w:r>
    </w:p>
    <w:p w:rsidR="00000000" w:rsidDel="00000000" w:rsidP="00000000" w:rsidRDefault="00000000" w:rsidRPr="00000000" w14:paraId="00000002">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ind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course of this long, arduous semester, I had several opportunities to engage with research ethics, both inside of this course and outside of it. As a doctoral student at UCF, I am required to participate in four Responsible Code of Conduct Workshops proctored by the Graduate School, and happened to have the privilege of attending one proctored by T&amp;T’s own Dr. Beever. I also completed another additional CITI Certification in this course, and had the opportunity to engage with compelling reading materials on the topic, such as d’Ignazio and Klein’s </w:t>
      </w:r>
      <w:r w:rsidDel="00000000" w:rsidR="00000000" w:rsidRPr="00000000">
        <w:rPr>
          <w:rFonts w:ascii="Times New Roman" w:cs="Times New Roman" w:eastAsia="Times New Roman" w:hAnsi="Times New Roman"/>
          <w:i w:val="1"/>
          <w:sz w:val="24"/>
          <w:szCs w:val="24"/>
          <w:highlight w:val="white"/>
          <w:rtl w:val="0"/>
        </w:rPr>
        <w:t xml:space="preserve">Data Feminism. </w:t>
      </w:r>
      <w:r w:rsidDel="00000000" w:rsidR="00000000" w:rsidRPr="00000000">
        <w:rPr>
          <w:rFonts w:ascii="Times New Roman" w:cs="Times New Roman" w:eastAsia="Times New Roman" w:hAnsi="Times New Roman"/>
          <w:sz w:val="24"/>
          <w:szCs w:val="24"/>
          <w:highlight w:val="white"/>
          <w:rtl w:val="0"/>
        </w:rPr>
        <w:t xml:space="preserve">A supplemental reading of particular merit that I am delighted to have been introduced to in the context of one of my own projects, which involves indigenous representation in a Japanese video game, was Tuhiwai Smith’s </w:t>
      </w:r>
      <w:r w:rsidDel="00000000" w:rsidR="00000000" w:rsidRPr="00000000">
        <w:rPr>
          <w:rFonts w:ascii="Times New Roman" w:cs="Times New Roman" w:eastAsia="Times New Roman" w:hAnsi="Times New Roman"/>
          <w:i w:val="1"/>
          <w:sz w:val="24"/>
          <w:szCs w:val="24"/>
          <w:highlight w:val="white"/>
          <w:rtl w:val="0"/>
        </w:rPr>
        <w:t xml:space="preserve">Decolonizing Methodologies: Research and Indigenous Peoples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Kairotic influences this term also included the current discussion around artificial intelligence in writing, including an August issuance from the U.S. Copyright Office regarding if a prompt engineer using an AI tool like DALL-E can transfer copyright to themselves, which ultimately upheld the current status quo in that it is impossible for this to be done because machines cannot hold copyright themselves and therefore, cannot transfer it. Although this determination was technically ‘status quo,’ it was widely touted by artists, particularly in the wake of the 2023 SAG-AFTRA strike, as a ruling that protects the rights of artists. At the same time, however, AI Art prompt engineers saw this as an affront to their own rights, hinting towards the tension between Open Access and Ownership that seems to be central to the Digital Humanities. </w:t>
      </w:r>
    </w:p>
    <w:p w:rsidR="00000000" w:rsidDel="00000000" w:rsidP="00000000" w:rsidRDefault="00000000" w:rsidRPr="00000000" w14:paraId="00000004">
      <w:pPr>
        <w:ind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tension between Open Access and Ownership is paramount in my reflective process regarding research ethics because I have found certain discomforts here, particularly when it comes to social media research. Going forward, I am interested in continuing to navigate the tension of conducting social media research including the scraping of social media sites like Reddit or Twitter. Online, these spaces are considered to be a facet of the public sphere. It is common in social media research today to, without regard to the identity, age, or permissions given of the persons featured in the study, include their social media posts that are considered ‘public’ so long as they are anonymized. This is particularly concerning to me because while this material may be considered public, the users who post this material often do not consent or their consent is not properly authorized and documented. In accordance with the Belmont Report, it would typically be the case that research including protected populations like minors would typically include a more significant oversight from an IRB, however, in social media research, these same steps are not yet taken (yet). I am quite interested in seeing how standards around social media research continue to develop. Until then, when I conduct this research myself, I plan to exercise extreme caution.                 </w:t>
      </w:r>
    </w:p>
    <w:p w:rsidR="00000000" w:rsidDel="00000000" w:rsidP="00000000" w:rsidRDefault="00000000" w:rsidRPr="00000000" w14:paraId="0000000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12/7/2023</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Bowden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 6812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