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2d3b45"/>
          <w:sz w:val="24"/>
          <w:szCs w:val="24"/>
          <w:highlight w:val="white"/>
        </w:rPr>
      </w:pPr>
      <w:r w:rsidDel="00000000" w:rsidR="00000000" w:rsidRPr="00000000">
        <w:rPr>
          <w:color w:val="2d3b45"/>
          <w:sz w:val="24"/>
          <w:szCs w:val="24"/>
          <w:highlight w:val="white"/>
          <w:rtl w:val="0"/>
        </w:rPr>
        <w:t xml:space="preserve">For context, I’m in the </w:t>
      </w:r>
      <w:r w:rsidDel="00000000" w:rsidR="00000000" w:rsidRPr="00000000">
        <w:rPr>
          <w:color w:val="2d3b45"/>
          <w:sz w:val="24"/>
          <w:szCs w:val="24"/>
          <w:highlight w:val="white"/>
          <w:rtl w:val="0"/>
        </w:rPr>
        <w:t xml:space="preserve">Texts &amp; Technology PhD Program and although I’m quite early in my program of studies, I know that my dissertation will in some way involve queer and feminist rhetoric in a very specific context (likely androgyny and nonbinary gender identity and expression in Japanese video games), so as I’m reading these initial chapters of the Feminist Research Practice primer, I’m also making a strong attempt to connect these these core pieces of theory to any feminist-related content on the Texts &amp; Technology Core text list and my research interests. Prior to getting into those texts, however, the readings here help contextualize my framework. Beginning with the mentions in chapter one to Spivak’s work on page 7 regarding postcolonial feminisms and feminist research in a global context, it is important for me as a queer nonbinary white person from the U.S. to exercise caution when attempting this research. Nonbinary is a fascinating cultural phenomenon but, of course, the way that identifier functions culturally within the United States in my cultural context is much different than what I’ll be working with in Japanese video games. Definitions and ideas of gender, queerness, and gender expression are markedly different in Japan than in the U.S. Thankfully, my BA is in Japanese Studies and I’ve spent a good portion of my life living in Japan as a queer person (admittedly, a queer white expat), so while I certainly need to do significant work to increase the depth of my understanding in this area still, I can at least say that I’ve begun that work. Deniz’s 1999 work is paraphrased in the text regarding a “tendency of some western feminist researchers to ‘universalize’ disciplinary concepts, ignoring the ethnocentrism that lies deep within constructs such as patriarchy,” (pg.8) -- so, I know that I want to not attempt to ‘universalize’ any aspect of queer experience or androgyny, or nonbinary gender identities. I also greatly appreciate the need for deep reflexivity in this practice. </w:t>
      </w:r>
    </w:p>
    <w:p w:rsidR="00000000" w:rsidDel="00000000" w:rsidP="00000000" w:rsidRDefault="00000000" w:rsidRPr="00000000" w14:paraId="00000002">
      <w:pPr>
        <w:rPr>
          <w:color w:val="2d3b45"/>
          <w:sz w:val="24"/>
          <w:szCs w:val="24"/>
          <w:highlight w:val="white"/>
        </w:rPr>
      </w:pPr>
      <w:r w:rsidDel="00000000" w:rsidR="00000000" w:rsidRPr="00000000">
        <w:rPr>
          <w:rtl w:val="0"/>
        </w:rPr>
      </w:r>
    </w:p>
    <w:p w:rsidR="00000000" w:rsidDel="00000000" w:rsidP="00000000" w:rsidRDefault="00000000" w:rsidRPr="00000000" w14:paraId="00000003">
      <w:pPr>
        <w:rPr>
          <w:color w:val="2d3b45"/>
          <w:sz w:val="24"/>
          <w:szCs w:val="24"/>
          <w:highlight w:val="white"/>
        </w:rPr>
      </w:pPr>
      <w:r w:rsidDel="00000000" w:rsidR="00000000" w:rsidRPr="00000000">
        <w:rPr>
          <w:color w:val="2d3b45"/>
          <w:sz w:val="24"/>
          <w:szCs w:val="24"/>
          <w:highlight w:val="white"/>
          <w:rtl w:val="0"/>
        </w:rPr>
        <w:t xml:space="preserve">Another issue on my mind at this phase is epistemology in the context of this work -- how do we know what we know about gender expression in Japanese video games? Empiricism as it is defined on page 15 as: “the doctrine that all knowledge derives from sensory experience, exists relatively uniformly outside of social contexts, and is validated as true by its replicability through objective measurements,” seems to suggest that player-experience studies may be a useful method in this regard inasmuch as those methods yield replicable results. The idea of uniformity outside of social contexts is somewhat interesting here, however, because another complicating factor for my research is going to be what happens in translation and localization -- quite often in Japanese media, particularly when it is marketed for younger audiences, queer characters are “gender swapped” in translation. If any of you grew up watching Sailor Moon, for example, the English dub switched some genders around through the powers of creative voice acting to hide queer characters -- and this same thing happens all over the place in video games, too. There is, of course, also the layers of epistemic authority and privilege as referenced on page 21 -- I must ask myself questions regarding what I, as again, a white queer PhD student from across the planet, am attempting to do regarding making any kind of research or claims about gender expression and representation in these games, and what it would mean for me as an academic to make these claims. At the same time, it’s also important to remember that the reach of these games, even if they are Japanese, is global and often modified in localization. It is mentioned in the text that feminist standpoint theorists typically “resist focusing their analyses on individual actors removed from their social context,” (p.32), but that’s also interesting here given that with the localization of games, context can be a moving goalpost. </w:t>
      </w:r>
    </w:p>
    <w:p w:rsidR="00000000" w:rsidDel="00000000" w:rsidP="00000000" w:rsidRDefault="00000000" w:rsidRPr="00000000" w14:paraId="00000004">
      <w:pPr>
        <w:rPr>
          <w:color w:val="2d3b45"/>
          <w:sz w:val="24"/>
          <w:szCs w:val="24"/>
          <w:highlight w:val="white"/>
        </w:rPr>
      </w:pPr>
      <w:r w:rsidDel="00000000" w:rsidR="00000000" w:rsidRPr="00000000">
        <w:rPr>
          <w:rtl w:val="0"/>
        </w:rPr>
      </w:r>
    </w:p>
    <w:p w:rsidR="00000000" w:rsidDel="00000000" w:rsidP="00000000" w:rsidRDefault="00000000" w:rsidRPr="00000000" w14:paraId="00000005">
      <w:pPr>
        <w:rPr>
          <w:color w:val="2d3b45"/>
          <w:sz w:val="24"/>
          <w:szCs w:val="24"/>
          <w:highlight w:val="white"/>
        </w:rPr>
      </w:pPr>
      <w:r w:rsidDel="00000000" w:rsidR="00000000" w:rsidRPr="00000000">
        <w:rPr>
          <w:color w:val="2d3b45"/>
          <w:sz w:val="24"/>
          <w:szCs w:val="24"/>
          <w:highlight w:val="white"/>
          <w:rtl w:val="0"/>
        </w:rPr>
        <w:t xml:space="preserve">It occurs to me that in addition to the feminist readings from the T&amp;T Core list that I’d like to dive deeper into this summer (including Losh and Wernimont’s Bodies of Information: Intersectional Feminism and the Digital Humanities), it’s also going to be important for me to dive deeper into academic literature regarding localization and, as much as possible, texts from Japanese feminist scholars on the feminist movement in Japan, gender expression, and queer identity in cultural context. I have a bit of experience with some of these things head on from lived experience, but I know that in order to have sophisticated academic discussions on these topics, I’m going to need a much deeper primer into the scholarly work as well… and hopefully, some of these will be available in translation, because it’s been awhile since I read anything in Japanese. I do speak and read Japanese, but can I do academic research in Japanese? That’s… probably a stretch.     </w:t>
      </w:r>
    </w:p>
    <w:p w:rsidR="00000000" w:rsidDel="00000000" w:rsidP="00000000" w:rsidRDefault="00000000" w:rsidRPr="00000000" w14:paraId="00000006">
      <w:pPr>
        <w:rPr>
          <w:color w:val="2d3b45"/>
          <w:sz w:val="24"/>
          <w:szCs w:val="24"/>
          <w:highlight w:val="white"/>
        </w:rPr>
      </w:pPr>
      <w:r w:rsidDel="00000000" w:rsidR="00000000" w:rsidRPr="00000000">
        <w:rPr>
          <w:rtl w:val="0"/>
        </w:rPr>
      </w:r>
    </w:p>
    <w:p w:rsidR="00000000" w:rsidDel="00000000" w:rsidP="00000000" w:rsidRDefault="00000000" w:rsidRPr="00000000" w14:paraId="00000007">
      <w:pPr>
        <w:rPr>
          <w:color w:val="2d3b45"/>
          <w:sz w:val="24"/>
          <w:szCs w:val="24"/>
          <w:highlight w:val="white"/>
        </w:rPr>
      </w:pPr>
      <w:r w:rsidDel="00000000" w:rsidR="00000000" w:rsidRPr="00000000">
        <w:rPr>
          <w:color w:val="2d3b45"/>
          <w:sz w:val="24"/>
          <w:szCs w:val="24"/>
          <w:highlight w:val="white"/>
          <w:rtl w:val="0"/>
        </w:rPr>
        <w:t xml:space="preserve"> </w:t>
      </w:r>
    </w:p>
    <w:p w:rsidR="00000000" w:rsidDel="00000000" w:rsidP="00000000" w:rsidRDefault="00000000" w:rsidRPr="00000000" w14:paraId="00000008">
      <w:pPr>
        <w:rPr>
          <w:b w:val="1"/>
          <w:color w:val="2d3b45"/>
          <w:sz w:val="24"/>
          <w:szCs w:val="24"/>
          <w:highlight w:val="white"/>
        </w:rPr>
      </w:pPr>
      <w:r w:rsidDel="00000000" w:rsidR="00000000" w:rsidRPr="00000000">
        <w:rPr>
          <w:b w:val="1"/>
          <w:color w:val="2d3b45"/>
          <w:sz w:val="24"/>
          <w:szCs w:val="24"/>
          <w:highlight w:val="white"/>
          <w:rtl w:val="0"/>
        </w:rPr>
        <w:t xml:space="preserve"> </w:t>
      </w:r>
    </w:p>
    <w:p w:rsidR="00000000" w:rsidDel="00000000" w:rsidP="00000000" w:rsidRDefault="00000000" w:rsidRPr="00000000" w14:paraId="00000009">
      <w:pPr>
        <w:rPr>
          <w:b w:val="1"/>
          <w:color w:val="2d3b45"/>
          <w:sz w:val="24"/>
          <w:szCs w:val="24"/>
          <w:highlight w:val="white"/>
        </w:rPr>
      </w:pPr>
      <w:r w:rsidDel="00000000" w:rsidR="00000000" w:rsidRPr="00000000">
        <w:rPr>
          <w:i w:val="1"/>
          <w:color w:val="2d3b45"/>
          <w:sz w:val="18"/>
          <w:szCs w:val="18"/>
          <w:highlight w:val="white"/>
          <w:rtl w:val="0"/>
        </w:rPr>
        <w:t xml:space="preserve">osh, Elizabeth and Jacqueline Wernimont. Bodies of Information: Intersectional Feminism and Digital Humanities. (</w:t>
      </w:r>
      <w:r w:rsidDel="00000000" w:rsidR="00000000" w:rsidRPr="00000000">
        <w:rPr>
          <w:rtl w:val="0"/>
        </w:rPr>
      </w:r>
    </w:p>
    <w:p w:rsidR="00000000" w:rsidDel="00000000" w:rsidP="00000000" w:rsidRDefault="00000000" w:rsidRPr="00000000" w14:paraId="0000000A">
      <w:pPr>
        <w:rPr>
          <w:b w:val="1"/>
          <w:color w:val="2d3b45"/>
          <w:sz w:val="24"/>
          <w:szCs w:val="24"/>
          <w:highlight w:val="white"/>
        </w:rPr>
      </w:pPr>
      <w:r w:rsidDel="00000000" w:rsidR="00000000" w:rsidRPr="00000000">
        <w:rPr>
          <w:b w:val="1"/>
          <w:color w:val="2d3b45"/>
          <w:sz w:val="24"/>
          <w:szCs w:val="24"/>
          <w:highlight w:val="white"/>
          <w:rtl w:val="0"/>
        </w:rPr>
        <w:t xml:space="preserve">Discussion 1: </w:t>
      </w:r>
    </w:p>
    <w:p w:rsidR="00000000" w:rsidDel="00000000" w:rsidP="00000000" w:rsidRDefault="00000000" w:rsidRPr="00000000" w14:paraId="0000000B">
      <w:pPr>
        <w:rPr>
          <w:b w:val="1"/>
          <w:color w:val="2d3b45"/>
          <w:sz w:val="24"/>
          <w:szCs w:val="24"/>
          <w:highlight w:val="white"/>
        </w:rPr>
      </w:pPr>
      <w:r w:rsidDel="00000000" w:rsidR="00000000" w:rsidRPr="00000000">
        <w:rPr>
          <w:rtl w:val="0"/>
        </w:rPr>
      </w:r>
    </w:p>
    <w:p w:rsidR="00000000" w:rsidDel="00000000" w:rsidP="00000000" w:rsidRDefault="00000000" w:rsidRPr="00000000" w14:paraId="0000000C">
      <w:pPr>
        <w:rPr>
          <w:color w:val="2d3b45"/>
          <w:sz w:val="24"/>
          <w:szCs w:val="24"/>
          <w:highlight w:val="white"/>
        </w:rPr>
      </w:pPr>
      <w:r w:rsidDel="00000000" w:rsidR="00000000" w:rsidRPr="00000000">
        <w:rPr>
          <w:rtl w:val="0"/>
        </w:rPr>
      </w:r>
    </w:p>
    <w:p w:rsidR="00000000" w:rsidDel="00000000" w:rsidP="00000000" w:rsidRDefault="00000000" w:rsidRPr="00000000" w14:paraId="0000000D">
      <w:pPr>
        <w:rPr>
          <w:color w:val="2d3b45"/>
          <w:sz w:val="24"/>
          <w:szCs w:val="24"/>
          <w:highlight w:val="white"/>
        </w:rPr>
      </w:pPr>
      <w:r w:rsidDel="00000000" w:rsidR="00000000" w:rsidRPr="00000000">
        <w:rPr>
          <w:color w:val="2d3b45"/>
          <w:sz w:val="24"/>
          <w:szCs w:val="24"/>
          <w:highlight w:val="white"/>
          <w:rtl w:val="0"/>
        </w:rPr>
        <w:t xml:space="preserve">In about 300 words, describe how the readings apply to your research interests? For example, how would feminist standpoint and/or intersectionality help shape your research focus and approach? There should be a minimum of 5 references with citation to the readings.</w:t>
      </w:r>
    </w:p>
    <w:p w:rsidR="00000000" w:rsidDel="00000000" w:rsidP="00000000" w:rsidRDefault="00000000" w:rsidRPr="00000000" w14:paraId="0000000E">
      <w:pPr>
        <w:rPr>
          <w:color w:val="2d3b45"/>
          <w:sz w:val="24"/>
          <w:szCs w:val="24"/>
          <w:highlight w:val="white"/>
        </w:rPr>
      </w:pPr>
      <w:r w:rsidDel="00000000" w:rsidR="00000000" w:rsidRPr="00000000">
        <w:rPr>
          <w:rtl w:val="0"/>
        </w:rPr>
      </w:r>
    </w:p>
    <w:p w:rsidR="00000000" w:rsidDel="00000000" w:rsidP="00000000" w:rsidRDefault="00000000" w:rsidRPr="00000000" w14:paraId="0000000F">
      <w:pPr>
        <w:rPr>
          <w:i w:val="1"/>
          <w:color w:val="2d3b45"/>
          <w:sz w:val="18"/>
          <w:szCs w:val="18"/>
          <w:highlight w:val="white"/>
        </w:rPr>
      </w:pPr>
      <w:r w:rsidDel="00000000" w:rsidR="00000000" w:rsidRPr="00000000">
        <w:rPr>
          <w:i w:val="1"/>
          <w:color w:val="2d3b45"/>
          <w:sz w:val="18"/>
          <w:szCs w:val="18"/>
          <w:highlight w:val="white"/>
          <w:rtl w:val="0"/>
        </w:rPr>
        <w:t xml:space="preserve">Steele, Catherine Knight. 2021. Digital Black Feminism. New York: NYU Press. </w:t>
      </w:r>
    </w:p>
    <w:p w:rsidR="00000000" w:rsidDel="00000000" w:rsidP="00000000" w:rsidRDefault="00000000" w:rsidRPr="00000000" w14:paraId="00000010">
      <w:pPr>
        <w:rPr>
          <w:i w:val="1"/>
          <w:color w:val="2d3b45"/>
          <w:sz w:val="18"/>
          <w:szCs w:val="18"/>
          <w:highlight w:val="white"/>
        </w:rPr>
      </w:pPr>
      <w:r w:rsidDel="00000000" w:rsidR="00000000" w:rsidRPr="00000000">
        <w:rPr>
          <w:i w:val="1"/>
          <w:color w:val="2d3b45"/>
          <w:sz w:val="18"/>
          <w:szCs w:val="18"/>
          <w:highlight w:val="white"/>
          <w:rtl w:val="0"/>
        </w:rPr>
        <w:t xml:space="preserve">Noble, Safiya Umoja. 2018. Algorithms of Oppression: How Search Engines Reinforce Racism. New York: NYU Press</w:t>
      </w:r>
    </w:p>
    <w:p w:rsidR="00000000" w:rsidDel="00000000" w:rsidP="00000000" w:rsidRDefault="00000000" w:rsidRPr="00000000" w14:paraId="00000011">
      <w:pPr>
        <w:rPr>
          <w:i w:val="1"/>
          <w:color w:val="2d3b45"/>
          <w:sz w:val="18"/>
          <w:szCs w:val="18"/>
          <w:highlight w:val="white"/>
        </w:rPr>
      </w:pPr>
      <w:r w:rsidDel="00000000" w:rsidR="00000000" w:rsidRPr="00000000">
        <w:rPr>
          <w:i w:val="1"/>
          <w:color w:val="2d3b45"/>
          <w:sz w:val="18"/>
          <w:szCs w:val="18"/>
          <w:highlight w:val="white"/>
          <w:rtl w:val="0"/>
        </w:rPr>
        <w:t xml:space="preserve">Losh, Elizabeth, and Jacqueline Wernimont, eds. 2019. Bodies of Information: Intersectional Feminism and the Digital Humanities. Minneapolis ; London: Univ Of Minnesota Press.</w:t>
      </w:r>
    </w:p>
    <w:p w:rsidR="00000000" w:rsidDel="00000000" w:rsidP="00000000" w:rsidRDefault="00000000" w:rsidRPr="00000000" w14:paraId="00000012">
      <w:pPr>
        <w:rPr>
          <w:i w:val="1"/>
          <w:color w:val="2d3b45"/>
          <w:sz w:val="18"/>
          <w:szCs w:val="18"/>
          <w:highlight w:val="white"/>
        </w:rPr>
      </w:pPr>
      <w:r w:rsidDel="00000000" w:rsidR="00000000" w:rsidRPr="00000000">
        <w:rPr>
          <w:i w:val="1"/>
          <w:color w:val="2d3b45"/>
          <w:sz w:val="18"/>
          <w:szCs w:val="18"/>
          <w:highlight w:val="white"/>
          <w:rtl w:val="0"/>
        </w:rPr>
        <w:t xml:space="preserve">Jackson, Sarah J., Moya Bailey, Brooke Foucault Welles, and Genie Lauren. 2020. #HashtagActivism: Networks of Race and Gender Justice. Illustrated edition. Cambridge: The MIT Press.</w:t>
      </w:r>
    </w:p>
    <w:p w:rsidR="00000000" w:rsidDel="00000000" w:rsidP="00000000" w:rsidRDefault="00000000" w:rsidRPr="00000000" w14:paraId="00000013">
      <w:pPr>
        <w:rPr>
          <w:i w:val="1"/>
          <w:color w:val="2d3b45"/>
          <w:sz w:val="18"/>
          <w:szCs w:val="18"/>
          <w:highlight w:val="white"/>
        </w:rPr>
      </w:pPr>
      <w:r w:rsidDel="00000000" w:rsidR="00000000" w:rsidRPr="00000000">
        <w:rPr>
          <w:i w:val="1"/>
          <w:color w:val="2d3b45"/>
          <w:sz w:val="18"/>
          <w:szCs w:val="18"/>
          <w:highlight w:val="white"/>
          <w:rtl w:val="0"/>
        </w:rPr>
        <w:t xml:space="preserve">Haraway, Donna Jeanne. Simians, Cyborgs, and Women: The Reinvention of Nature. New York: Routledge, 2015.</w:t>
      </w:r>
    </w:p>
    <w:p w:rsidR="00000000" w:rsidDel="00000000" w:rsidP="00000000" w:rsidRDefault="00000000" w:rsidRPr="00000000" w14:paraId="00000014">
      <w:pPr>
        <w:rPr>
          <w:i w:val="1"/>
          <w:color w:val="2d3b45"/>
          <w:sz w:val="18"/>
          <w:szCs w:val="18"/>
          <w:highlight w:val="white"/>
        </w:rPr>
      </w:pPr>
      <w:r w:rsidDel="00000000" w:rsidR="00000000" w:rsidRPr="00000000">
        <w:rPr>
          <w:i w:val="1"/>
          <w:color w:val="2d3b45"/>
          <w:sz w:val="18"/>
          <w:szCs w:val="18"/>
          <w:highlight w:val="white"/>
          <w:rtl w:val="0"/>
        </w:rPr>
        <w:t xml:space="preserve">Gold, Matthew K., and Lauren F. Klein. 2023. Debates in the Digital Humanities 2023. Univ Of Minnesota Press. </w:t>
      </w:r>
    </w:p>
    <w:p w:rsidR="00000000" w:rsidDel="00000000" w:rsidP="00000000" w:rsidRDefault="00000000" w:rsidRPr="00000000" w14:paraId="00000015">
      <w:pPr>
        <w:rPr>
          <w:i w:val="1"/>
          <w:color w:val="2d3b45"/>
          <w:sz w:val="18"/>
          <w:szCs w:val="18"/>
          <w:highlight w:val="white"/>
        </w:rPr>
      </w:pPr>
      <w:r w:rsidDel="00000000" w:rsidR="00000000" w:rsidRPr="00000000">
        <w:rPr>
          <w:i w:val="1"/>
          <w:color w:val="2d3b45"/>
          <w:sz w:val="18"/>
          <w:szCs w:val="18"/>
          <w:highlight w:val="white"/>
          <w:rtl w:val="0"/>
        </w:rPr>
        <w:t xml:space="preserve">D’Ignazio, Catherine, and Lauren F. Klein. 2020. Data Feminism. Cambridge, Massachusetts: The MIT Press. 18. De Kosnik, Abigail. Rogue Archives: Digital Cultural Memory and Media Fandom. The MIT Press, 2016.</w:t>
      </w:r>
    </w:p>
    <w:p w:rsidR="00000000" w:rsidDel="00000000" w:rsidP="00000000" w:rsidRDefault="00000000" w:rsidRPr="00000000" w14:paraId="00000016">
      <w:pPr>
        <w:rPr>
          <w:i w:val="1"/>
          <w:color w:val="2d3b45"/>
          <w:sz w:val="18"/>
          <w:szCs w:val="18"/>
          <w:highlight w:val="white"/>
        </w:rPr>
      </w:pPr>
      <w:r w:rsidDel="00000000" w:rsidR="00000000" w:rsidRPr="00000000">
        <w:rPr>
          <w:i w:val="1"/>
          <w:color w:val="2d3b45"/>
          <w:sz w:val="18"/>
          <w:szCs w:val="18"/>
          <w:highlight w:val="white"/>
          <w:rtl w:val="0"/>
        </w:rPr>
        <w:t xml:space="preserve">Balsamo, Anne. Technologies of the Gendered Body. • D’Ignazio, Catherine, and Lauren F. Klein. Data Feminism. (available free online via MIT Press) • Harding, Sandra. Feminist Standpoint Theory Reader. • Haraway, Donna Jeanne. Simians, Cyborgs, and Women: The Reinvention of Nature. (Taylor and Francis ebook available through UCF library) • Hayles, N. Katherine. How We Became Posthuman. (ACLS Humanities ebook available through UCF library) • Jackson, Sarah J., Moya Bailey, Brooke Foucault Welles, and Genie Lauren. #HashtagActivism: Networks of Race and Gender Justice. (available free online via MIT Press) • Losh, Elizabeth and Jacqueline Wernimont. Bodies of Information: Intersectional Feminism and Digital Humanities. (available free online via U Minnesota Press) • Noble, Safiya Umoja. 2018. Algorithms of Oppression: How Search Engines Reinforce Racism. (Project Muse PDFs available through UCF library) • Wachter-Boettcher, Sara. Technically Wrong: Sexist Apps, Biased Algorithms, and other Threats of Toxic Tech. Additional readings will be provided in PDF form in Webcourses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