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hd w:fill="ffffff" w:val="clear"/>
        <w:spacing w:line="480" w:lineRule="auto"/>
        <w:jc w:val="center"/>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sz w:val="24"/>
          <w:szCs w:val="24"/>
          <w:u w:val="single"/>
          <w:rtl w:val="0"/>
        </w:rPr>
        <w:t xml:space="preserve">Personal Statement for the Professional Writing Graduate Certificate</w:t>
      </w:r>
      <w:r w:rsidDel="00000000" w:rsidR="00000000" w:rsidRPr="00000000">
        <w:rPr>
          <w:rtl w:val="0"/>
        </w:rPr>
      </w:r>
    </w:p>
    <w:p w:rsidR="00000000" w:rsidDel="00000000" w:rsidP="00000000" w:rsidRDefault="00000000" w:rsidRPr="00000000" w14:paraId="00000002">
      <w:pPr>
        <w:shd w:fill="ffffff" w:val="clear"/>
        <w:spacing w:line="480" w:lineRule="auto"/>
        <w:ind w:firstLine="720"/>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03">
      <w:pPr>
        <w:shd w:fill="ffffff" w:val="clea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joined the Department of Rhetoric and Writing as a Visiting Instructor on a four-year line in September of 2022 and was exceedingly fortunate to enroll in two courses during fall term: Dr. Salter’s </w:t>
      </w:r>
      <w:r w:rsidDel="00000000" w:rsidR="00000000" w:rsidRPr="00000000">
        <w:rPr>
          <w:rFonts w:ascii="Times New Roman" w:cs="Times New Roman" w:eastAsia="Times New Roman" w:hAnsi="Times New Roman"/>
          <w:i w:val="1"/>
          <w:sz w:val="24"/>
          <w:szCs w:val="24"/>
          <w:rtl w:val="0"/>
        </w:rPr>
        <w:t xml:space="preserve">Introduction to Texts &amp; Technology</w:t>
      </w:r>
      <w:r w:rsidDel="00000000" w:rsidR="00000000" w:rsidRPr="00000000">
        <w:rPr>
          <w:rFonts w:ascii="Times New Roman" w:cs="Times New Roman" w:eastAsia="Times New Roman" w:hAnsi="Times New Roman"/>
          <w:sz w:val="24"/>
          <w:szCs w:val="24"/>
          <w:rtl w:val="0"/>
        </w:rPr>
        <w:t xml:space="preserve"> and Dr. Arellano’s </w:t>
      </w:r>
      <w:r w:rsidDel="00000000" w:rsidR="00000000" w:rsidRPr="00000000">
        <w:rPr>
          <w:rFonts w:ascii="Times New Roman" w:cs="Times New Roman" w:eastAsia="Times New Roman" w:hAnsi="Times New Roman"/>
          <w:i w:val="1"/>
          <w:sz w:val="24"/>
          <w:szCs w:val="24"/>
          <w:rtl w:val="0"/>
        </w:rPr>
        <w:t xml:space="preserve">Gendered Rhetorics</w:t>
      </w:r>
      <w:r w:rsidDel="00000000" w:rsidR="00000000" w:rsidRPr="00000000">
        <w:rPr>
          <w:rFonts w:ascii="Times New Roman" w:cs="Times New Roman" w:eastAsia="Times New Roman" w:hAnsi="Times New Roman"/>
          <w:sz w:val="24"/>
          <w:szCs w:val="24"/>
          <w:rtl w:val="0"/>
        </w:rPr>
        <w:t xml:space="preserve">. My intention was to determine if the interdisciplinary nature of the Texts and Technology program would be a good match for me as someone who, prior to this semester, envisioned my career trajectory as working toward becoming a Writing Program Administrator with research focused in disability access in First-Year Writing Programs. Although my pedagogical and research interests have always been access and tech-oriented in part due to my disability, I had not quite yet found a way to articulate my interests in accessibility, technology, queer and trans rhetorics, neurodivergence, fandom, and developing online writing classrooms. I am now beginning to reexamine these interests through the digital humanities methods I was introduced to this term. While I still see my career trajectory of in some way leading to Writing Program Administration, I am interested in perhaps reexamining the tools we use within First-Year Writing to scaffold our work and how we can best create an online or mixed-modality writing classroom that is not only more accessible for students in terms of disability access, but also, in terms of relevant writing and technology practices. I am also now enrolled in the Texts &amp; Technology PhD Program. Touchstone scholarship connected with these avenues of inquiry include Annette Vee’s </w:t>
      </w:r>
      <w:r w:rsidDel="00000000" w:rsidR="00000000" w:rsidRPr="00000000">
        <w:rPr>
          <w:rFonts w:ascii="Times New Roman" w:cs="Times New Roman" w:eastAsia="Times New Roman" w:hAnsi="Times New Roman"/>
          <w:i w:val="1"/>
          <w:sz w:val="24"/>
          <w:szCs w:val="24"/>
          <w:rtl w:val="0"/>
        </w:rPr>
        <w:t xml:space="preserve">Coding Literacy: How Computer Programming is Changing Writing, </w:t>
      </w:r>
      <w:r w:rsidDel="00000000" w:rsidR="00000000" w:rsidRPr="00000000">
        <w:rPr>
          <w:rFonts w:ascii="Times New Roman" w:cs="Times New Roman" w:eastAsia="Times New Roman" w:hAnsi="Times New Roman"/>
          <w:sz w:val="24"/>
          <w:szCs w:val="24"/>
          <w:rtl w:val="0"/>
        </w:rPr>
        <w:t xml:space="preserve">Klein’s </w:t>
      </w:r>
      <w:r w:rsidDel="00000000" w:rsidR="00000000" w:rsidRPr="00000000">
        <w:rPr>
          <w:rFonts w:ascii="Times New Roman" w:cs="Times New Roman" w:eastAsia="Times New Roman" w:hAnsi="Times New Roman"/>
          <w:i w:val="1"/>
          <w:sz w:val="24"/>
          <w:szCs w:val="24"/>
          <w:rtl w:val="0"/>
        </w:rPr>
        <w:t xml:space="preserve">Interdisciplining Digital Humanities: Boundary Work in an Emerging Field, </w:t>
      </w:r>
      <w:r w:rsidDel="00000000" w:rsidR="00000000" w:rsidRPr="00000000">
        <w:rPr>
          <w:rFonts w:ascii="Times New Roman" w:cs="Times New Roman" w:eastAsia="Times New Roman" w:hAnsi="Times New Roman"/>
          <w:sz w:val="24"/>
          <w:szCs w:val="24"/>
          <w:rtl w:val="0"/>
        </w:rPr>
        <w:t xml:space="preserve">and Ahmed’s</w:t>
      </w:r>
      <w:r w:rsidDel="00000000" w:rsidR="00000000" w:rsidRPr="00000000">
        <w:rPr>
          <w:rFonts w:ascii="Times New Roman" w:cs="Times New Roman" w:eastAsia="Times New Roman" w:hAnsi="Times New Roman"/>
          <w:i w:val="1"/>
          <w:sz w:val="24"/>
          <w:szCs w:val="24"/>
          <w:rtl w:val="0"/>
        </w:rPr>
        <w:t xml:space="preserve"> On Being Included: Racism and Diversity in Institutional Life,</w:t>
      </w:r>
      <w:r w:rsidDel="00000000" w:rsidR="00000000" w:rsidRPr="00000000">
        <w:rPr>
          <w:rFonts w:ascii="Times New Roman" w:cs="Times New Roman" w:eastAsia="Times New Roman" w:hAnsi="Times New Roman"/>
          <w:sz w:val="24"/>
          <w:szCs w:val="24"/>
          <w:rtl w:val="0"/>
        </w:rPr>
        <w:t xml:space="preserve"> each of which are pieces I was introduced to in Dr. Salter’s course and feature prominently on the program’s core reading lists. I’d now like to add into the Professional Writing Graduate Certificate as well, so that I can continue to pursue coursework within the Department of Writing and Rhetoric alongside my Texts and Technology coursework that will support my continued development as a scholar.  </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4">
      <w:pPr>
        <w:shd w:fill="ffffff" w:val="clea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my Master’s Research Project, I examined the syllabi accommodation statements from First Year Writing courses at each of the public universities in Michigan in order to determine if the rhetorical work of the syllabi was consistent with best praxis as recommended by disability studies specialists within our field. While accommodation is always a tricky conversation, it can be especially so in writing courses where many disability resource center standard accommodations do not apply. What I uncovered was a perplexing amalgam for both young disabled students and their instructors, one where writing program instructions for those seeking accommodation often differed from or directly conflicted with institutional language, with further variation from classroom to classroom, and even within the same course. Finally, I observed there was little to no preparation for either college instructors or students in how to conduct these dynamic conversations. In future research, I hope to fill this gap by conducting qualitative investigation that relies on the self-reported experiences of disabled undergraduates and their instructors as well as machine reading conducted by software for the digital humanities to build a paradigm for conversations of access in the writing classroom. This research will both broaden opportunities for all parties to think of accessibility as a fluid conversation, not just of parameters and checkboxes, while still establishing a protocol useful to students, instructors and campus disability accommodation liaisons. </w:t>
      </w:r>
    </w:p>
    <w:p w:rsidR="00000000" w:rsidDel="00000000" w:rsidP="00000000" w:rsidRDefault="00000000" w:rsidRPr="00000000" w14:paraId="00000005">
      <w:pPr>
        <w:shd w:fill="ffffff" w:val="clea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terms of future research, I am particularly interested in increasing the level of coding literacy that is scaffolded into First-Year Composition courses that include ePortfolios as summative assessments, such as ours here at UCF. While some work has been done to prepare students for the practice of reframing an IMRAD research paper and other forms of writing into web content writing, often little emphasis is put into the ‘</w:t>
      </w:r>
      <w:r w:rsidDel="00000000" w:rsidR="00000000" w:rsidRPr="00000000">
        <w:rPr>
          <w:rFonts w:ascii="Times New Roman" w:cs="Times New Roman" w:eastAsia="Times New Roman" w:hAnsi="Times New Roman"/>
          <w:i w:val="1"/>
          <w:sz w:val="24"/>
          <w:szCs w:val="24"/>
          <w:rtl w:val="0"/>
        </w:rPr>
        <w:t xml:space="preserve">e</w:t>
      </w:r>
      <w:r w:rsidDel="00000000" w:rsidR="00000000" w:rsidRPr="00000000">
        <w:rPr>
          <w:rFonts w:ascii="Times New Roman" w:cs="Times New Roman" w:eastAsia="Times New Roman" w:hAnsi="Times New Roman"/>
          <w:sz w:val="24"/>
          <w:szCs w:val="24"/>
          <w:rtl w:val="0"/>
        </w:rPr>
        <w:t xml:space="preserve">’ part of the ePortfolio, resulting in minimal engagement with digital platforms. I am also interested in increasing faculty engagement with digital tools to help grow the programs in the Department of Rhetoric and Writing.    </w:t>
      </w:r>
    </w:p>
    <w:p w:rsidR="00000000" w:rsidDel="00000000" w:rsidP="00000000" w:rsidRDefault="00000000" w:rsidRPr="00000000" w14:paraId="00000006">
      <w:pPr>
        <w:shd w:fill="ffffff" w:val="clea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hd w:fill="ffffff" w:val="clea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Thank you for your time and consideration. </w:t>
      </w:r>
    </w:p>
    <w:p w:rsidR="00000000" w:rsidDel="00000000" w:rsidP="00000000" w:rsidRDefault="00000000" w:rsidRPr="00000000" w14:paraId="00000008">
      <w:pPr>
        <w:shd w:fill="ffffff" w:val="clea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hd w:fill="ffffff" w:val="clear"/>
        <w:spacing w:line="480" w:lineRule="auto"/>
        <w:ind w:left="0" w:firstLine="0"/>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