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of course, a weird week for me. I stayed up until midnight last night just to take a peek at what the prompt was for this week and then promptly went to bed, thinking there’s no way I’d find the brain for more p5.js with surgery tomorrow morning and inevitable brain fog coming in the thereafter. I decided to lay down and watch the lecture video given my mind needed occupying and my body is otherwise not in commission, and I have to admit, I was still quite stuck through the lecture itself thinking what ambitious project I might attempt to visualize pertaining to my current work… that is, until I watched the second video, with Quinn Dombrowski, which includes a whole wonderful whimsy of interesting textile-based projects and stories about students tracking cats they know from campus. I was inspired by Dombrowski’s textile project where she traps her sleep in sewn “z”s (I know very little about textile work but I believe this is called embroidery, please correct me if I’m wrong). I also quite like the idea of a maker studio somewhere at UCF – I imagine we certainly have the space somewhere in TCH, and sewing machines must be less costly than some of the archival machinery we’ve gotten grants for up there in CHDR. We should totes make this happen. It’s shameful that I’m 31 years old and couldn’t sew a button back on one of my dresses if it fell off. </w:t>
      </w:r>
    </w:p>
    <w:p w:rsidR="00000000" w:rsidDel="00000000" w:rsidP="00000000" w:rsidRDefault="00000000" w:rsidRPr="00000000" w14:paraId="00000002">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Anywhoo, I first thought I might attempt to use p5.js to visualize some data I’ve been keeping regarding my New Year’s Resolutions for 2024. Much like Dombrowski’s sleep tracker, I’ve been keeping track of my moods, anxiety, hydration, protein, and sleep with some cute little color-coded charts that I found on Etsy and printed. I do my best to fill them out daily and have kept up so far, and I find this to be a useful tool in managing my expectations of myself in what has already been a very eventful and challenging year. 2024 so far has included my cat nearly dying in a horrible episode of veterinary malpractice, my car dying, surprise medical things, all on top of high-stakes career things, full-time PhD, and being a full-time instructor here at UCF. I often feel so drained and so inadequate, and these trackers not only give me a bit of time each day to spend coloring, but also, remind me that in the grand scheme of how intensely non-productive rest days can seem, things like hydrating my body and consuming adequate protein is, in fact, productive. Dombrowski does encourage us to think of the whole human, mentioning her husband’s PhD journey and the textile project she made to represent it. This, of course, is also echoed in Chachra’s chapter Beyond Making of </w:t>
      </w:r>
      <w:r w:rsidDel="00000000" w:rsidR="00000000" w:rsidRPr="00000000">
        <w:rPr>
          <w:rFonts w:ascii="Times New Roman" w:cs="Times New Roman" w:eastAsia="Times New Roman" w:hAnsi="Times New Roman"/>
          <w:i w:val="1"/>
          <w:sz w:val="24"/>
          <w:szCs w:val="24"/>
          <w:rtl w:val="0"/>
        </w:rPr>
        <w:t xml:space="preserve">Making Things and Drawing Boundaries</w:t>
      </w:r>
      <w:r w:rsidDel="00000000" w:rsidR="00000000" w:rsidRPr="00000000">
        <w:rPr>
          <w:rFonts w:ascii="Times New Roman" w:cs="Times New Roman" w:eastAsia="Times New Roman" w:hAnsi="Times New Roman"/>
          <w:sz w:val="24"/>
          <w:szCs w:val="24"/>
          <w:rtl w:val="0"/>
        </w:rPr>
        <w:t xml:space="preserve">, in which she states that the work of making attempts to redefine a way of thinking that prioritizes artifacts over people. </w:t>
      </w:r>
    </w:p>
    <w:p w:rsidR="00000000" w:rsidDel="00000000" w:rsidP="00000000" w:rsidRDefault="00000000" w:rsidRPr="00000000" w14:paraId="00000003">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Funnily enough, just as I was working through this week’s prompt, I was also preparing a few things ahead for T&amp;T in History. Next week, provided I've recovered enough to do so, I’m discussion leading for Virginia Eubanks’ </w:t>
      </w:r>
      <w:r w:rsidDel="00000000" w:rsidR="00000000" w:rsidRPr="00000000">
        <w:rPr>
          <w:rFonts w:ascii="Times New Roman" w:cs="Times New Roman" w:eastAsia="Times New Roman" w:hAnsi="Times New Roman"/>
          <w:i w:val="1"/>
          <w:sz w:val="24"/>
          <w:szCs w:val="24"/>
          <w:rtl w:val="0"/>
        </w:rPr>
        <w:t xml:space="preserve">Digital Dead End</w:t>
      </w:r>
      <w:r w:rsidDel="00000000" w:rsidR="00000000" w:rsidRPr="00000000">
        <w:rPr>
          <w:rFonts w:ascii="Times New Roman" w:cs="Times New Roman" w:eastAsia="Times New Roman" w:hAnsi="Times New Roman"/>
          <w:sz w:val="24"/>
          <w:szCs w:val="24"/>
          <w:rtl w:val="0"/>
        </w:rPr>
        <w:t xml:space="preserve">, which tracks Eubanks’ development of technology training programs for women otherwise underprepared in STEMs with and through her local YWCA with an emphasis on promoting social justice. You can also see Eubanks partially featured in a really, really wonderful documentary from Shalini Kantayya that you can watch on Netflix called </w:t>
      </w:r>
      <w:r w:rsidDel="00000000" w:rsidR="00000000" w:rsidRPr="00000000">
        <w:rPr>
          <w:rFonts w:ascii="Times New Roman" w:cs="Times New Roman" w:eastAsia="Times New Roman" w:hAnsi="Times New Roman"/>
          <w:i w:val="1"/>
          <w:sz w:val="24"/>
          <w:szCs w:val="24"/>
          <w:rtl w:val="0"/>
        </w:rPr>
        <w:t xml:space="preserve">Coded Bias </w:t>
      </w:r>
      <w:r w:rsidDel="00000000" w:rsidR="00000000" w:rsidRPr="00000000">
        <w:rPr>
          <w:rFonts w:ascii="Times New Roman" w:cs="Times New Roman" w:eastAsia="Times New Roman" w:hAnsi="Times New Roman"/>
          <w:sz w:val="24"/>
          <w:szCs w:val="24"/>
          <w:rtl w:val="0"/>
        </w:rPr>
        <w:t xml:space="preserve">(2020), which deals with unconscious biases in artificial intelligence. Eubanks is less central in it, but the overall documentary is awesome and pertinent to many of our interests. Eubanks’ newer book, </w:t>
      </w:r>
      <w:r w:rsidDel="00000000" w:rsidR="00000000" w:rsidRPr="00000000">
        <w:rPr>
          <w:rFonts w:ascii="Times New Roman" w:cs="Times New Roman" w:eastAsia="Times New Roman" w:hAnsi="Times New Roman"/>
          <w:i w:val="1"/>
          <w:sz w:val="24"/>
          <w:szCs w:val="24"/>
          <w:rtl w:val="0"/>
        </w:rPr>
        <w:t xml:space="preserve">Automating Inequality: How High-Tech Tools Profile, Police, and Punish the Poor</w:t>
      </w:r>
      <w:r w:rsidDel="00000000" w:rsidR="00000000" w:rsidRPr="00000000">
        <w:rPr>
          <w:rFonts w:ascii="Times New Roman" w:cs="Times New Roman" w:eastAsia="Times New Roman" w:hAnsi="Times New Roman"/>
          <w:sz w:val="24"/>
          <w:szCs w:val="24"/>
          <w:rtl w:val="0"/>
        </w:rPr>
        <w:t xml:space="preserve"> is on the 2023-2025 Core List for T&amp;T – I mention it because it may be of interest to many of you and, of course, cool as hell, and important as hell, too. The reason I bring it into this post, however, is going back to Dombrowski and Salter’s discussion of the textile maker space at Stanford, the Data Sitters Club, and the idea of expanding these techy things to would-be digital outsiders and using this sort of data visualization for passion projects. I, of course, have no idea how to sew, let alone quilt. I do bake, quite passionately, as you’ve all seen (and I am oh so very sorry that there will be no critical baking this week due to my recovery process) and I have tried to bake as critically as possible, but for this week I ultimately found my focus shifting toward another thing that’s been on my mind as of late: Florida, education, and queer things. </w:t>
      </w:r>
    </w:p>
    <w:p w:rsidR="00000000" w:rsidDel="00000000" w:rsidP="00000000" w:rsidRDefault="00000000" w:rsidRPr="00000000" w14:paraId="00000004">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people ask me why I choose to stay here and teach – why I feel comfortable doing so in the current political climate, if I wouldn’t be safer and happier elsewhere, etc. I often feel perplexed by these comments because Orlando is, frankly, one of the gayest cities in the world, and while I can understand why a visibly queer person like myself might have a bit more to worry about in rural areas, I’ve never felt unsafe enough to feel the need to leave the tricounty area of Orange, Seminole and Osceola. Not to mention, every semester since I’ve been here, students have commented on how important it is to them that I’m here and that I do the work I do, that it was a “big deal” for them to see someone with non-traditional pronouns on their syllabus, or to meet someone like them coming out of their K-12 experiences in Florida. It’s hardly as if I advertise anything about my exceedingly boring cat-filled private life to my students, but they know I’m nonbinary and occasionally hear mention of a partner or my activities with the Orlando Gay Chorus.   </w:t>
      </w:r>
    </w:p>
    <w:p w:rsidR="00000000" w:rsidDel="00000000" w:rsidP="00000000" w:rsidRDefault="00000000" w:rsidRPr="00000000" w14:paraId="00000005">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home is something like less than five miles from the Pulse memorial site. Pulse was, oddly enough, the first ever gay club I went to way back in 2015 as a little tiny baby Disney College Program student, several months before the tragedy that unfolded there did. I did not know any of the 49 personally – actually, I was in Japan when it happened, I had just starting my teaching job there – but due to my community connections, I’m friends with or friends of friends with many people who lost loved ones in that community. I’m also part of a grief group that meets locally at The Center and, without breaking confidentiality, I’m sure you can imagine that a gay grief support group in Orlando may ultimately end up discussing the topic from time to time. </w:t>
      </w:r>
    </w:p>
    <w:p w:rsidR="00000000" w:rsidDel="00000000" w:rsidP="00000000" w:rsidRDefault="00000000" w:rsidRPr="00000000" w14:paraId="00000006">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where did that land my project and my thinking this week…? Well…  </w:t>
      </w:r>
    </w:p>
    <w:p w:rsidR="00000000" w:rsidDel="00000000" w:rsidP="00000000" w:rsidRDefault="00000000" w:rsidRPr="00000000" w14:paraId="00000007">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 was thinking about House Bill 1069 – the infamous Don’t Say Gay bill – and some other pieces of Florida legislation. 1069, in particular, always felt like salt in the wound to me for the queer community here in Orlando. As someone who formerly taught in the K-12 system here and had the audacity to include books that included families with two mommies or two daddies on the shelf in my reading classroom (not as requirements, simply as books children could elect to pick off the shelf if they wanted to during free reading time, mind you, in proximity to the books about kids with one or zero parents because, ya know, not all families look the same) this bill has always been a source of frustration for me, because the precise wording of it and implications would’ve made my life as a teacher just that much more frustrating and challenging. Keep in mind, in grades K-3, which is what I was teaching in the 2020-2021 school year (in person, because Ron said so), the topic of someone’s orientation or family structure really only comes up if a student asks a question about a classmate. So, I was thinking of that piece of legislation in the same brain space as the 49, and how awful it must be for young people connected to the 49 – or frankly any child with any connection to a queer family in the area – knowing that their family structure is a spicy topic in school, in a city that is home to the most significant modern hate crime against the LGBT community.    </w:t>
      </w:r>
    </w:p>
    <w:p w:rsidR="00000000" w:rsidDel="00000000" w:rsidP="00000000" w:rsidRDefault="00000000" w:rsidRPr="00000000" w14:paraId="00000008">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started by asking CoPilot to help me make a gradient background in the colors of the trans flag. I had a few implementation issues, but ultimately got it to work – yay! </w:t>
      </w:r>
    </w:p>
    <w:p w:rsidR="00000000" w:rsidDel="00000000" w:rsidP="00000000" w:rsidRDefault="00000000" w:rsidRPr="00000000" w14:paraId="00000009">
      <w:pPr>
        <w:shd w:fill="ffffff" w:val="clea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decided that my raining, cascading text would be a mixture of the names of the 49 along with some of the greatest hits of weird passages from the text of House Bill 1069. I read it all again for this project and remembered that the bill specifically also calls for abstinence-based sexual education and “teaching the benefits of monogamous heterosexual marriage,” which, honestly, made me laugh a bit – I forgot that 1069 not only hates the queer community, but poly straight people, divorced people, and unmarried people. </w:t>
      </w:r>
    </w:p>
    <w:p w:rsidR="00000000" w:rsidDel="00000000" w:rsidP="00000000" w:rsidRDefault="00000000" w:rsidRPr="00000000" w14:paraId="0000000A">
      <w:pPr>
        <w:shd w:fill="ffffff" w:val="clear"/>
        <w:spacing w:after="180" w:before="180" w:lineRule="auto"/>
        <w:rPr>
          <w:color w:val="9900ff"/>
          <w:sz w:val="24"/>
          <w:szCs w:val="24"/>
        </w:rPr>
      </w:pPr>
      <w:r w:rsidDel="00000000" w:rsidR="00000000" w:rsidRPr="00000000">
        <w:rPr>
          <w:rFonts w:ascii="Times New Roman" w:cs="Times New Roman" w:eastAsia="Times New Roman" w:hAnsi="Times New Roman"/>
          <w:sz w:val="24"/>
          <w:szCs w:val="24"/>
          <w:rtl w:val="0"/>
        </w:rPr>
        <w:t xml:space="preserve">In terms of other modifications, I also made the “rain” slower so as to give the audience a better chance to actually catch / read the text as the names are, of course, longer than the one-word pieces the template originally supported.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