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00" w:lineRule="auto"/>
        <w:ind w:left="0" w:firstLine="0"/>
        <w:rPr>
          <w:color w:val="2d3b45"/>
          <w:sz w:val="24"/>
          <w:szCs w:val="24"/>
        </w:rPr>
      </w:pPr>
      <w:r w:rsidDel="00000000" w:rsidR="00000000" w:rsidRPr="00000000">
        <w:rPr>
          <w:b w:val="1"/>
          <w:color w:val="2d3b45"/>
          <w:sz w:val="24"/>
          <w:szCs w:val="24"/>
          <w:rtl w:val="0"/>
        </w:rPr>
        <w:t xml:space="preserve">4. Interlocking Systems of Oppression</w:t>
      </w:r>
      <w:r w:rsidDel="00000000" w:rsidR="00000000" w:rsidRPr="00000000">
        <w:rPr>
          <w:color w:val="2d3b45"/>
          <w:sz w:val="24"/>
          <w:szCs w:val="24"/>
          <w:rtl w:val="0"/>
        </w:rPr>
        <w:t xml:space="preserve">: Consider Collins' critique of single-axis frameworks and her emphasis on understanding interlocking systems of oppression. How does this perspective deepen our understanding of intersectionality and its application in social analysis? Discuss examples of interlocking oppressions provided in the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One useful area for understanding Collins’ critique of single-axis frameworks and interlocking systems of oppression comes to us in Chapter 3: Intersectionality and Resistant Knowledge Products, in which Collins discusses queer of color critiques of feminism and LGBTQ+ activism as being “overly concerned with the issues that affected white, middle-class people,” (Collins 105). Examples given include the concept of marriage equality, which often seems or is touted as a ‘universal’ queer issue in the United States. Collins describes marriage equality as a victory that certain combinations of racial and economic marginalizations would benefit less from. To me, this example reminded me of economic marginalization for disabled people in the United States, who often cannot marry without losing state appointed benefits that make a dramatic difference in their access to meaningful healthcare. A similar example is provided in terms of LGBTQ+ workplace protections, which, while a victory, is “less valuable for black trans people who experience extremely high rates of violence and murder,” (Collins 106). Neither of these critiques are, of course, to suggest that marriage equality or workplace protections are not important–of course they are–but these intersections are important as we consider social analysis and ask ourselves as researchers and members of this community (or as allies, for those of you that applies to) what ‘counts’ as queer issues or successes/goals for the community. Collins mentions the “tendency of valorizing particular queer women of color at the founding moments of a discourse while ignoring the ongoing presence of queer women of color within feminism itself,” (Collins 106) as a core issue of whitewashing feminist knowledge/theory/practice in academic spheres in particular, which, I suppose, feels particularly relevant and tangible when we think of the history of queer liberation in the U.S. as starting with Stonewall and the work of transwomen of color and tending to ignore the needs of queer people of color in contemporaneous events. I am reminded of, for example, rainbow flags and corporate pride in June, which often features images of white cisgender gay men. These considerations provide a richness to discussions of intersectionality within the queer community as they highlight the differing wants and needs of different constituents therein.    </w:t>
      </w:r>
    </w:p>
    <w:p w:rsidR="00000000" w:rsidDel="00000000" w:rsidP="00000000" w:rsidRDefault="00000000" w:rsidRPr="00000000" w14:paraId="00000004">
      <w:pPr>
        <w:shd w:fill="ffffff" w:val="clear"/>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5">
      <w:pP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Collins, Patricia Hill. Intersectionality as Critical Social Theory. Durham: Duke UP, 2019.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