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d3b45"/>
          <w:sz w:val="24"/>
          <w:szCs w:val="24"/>
          <w:highlight w:val="white"/>
        </w:rPr>
      </w:pPr>
      <w:r w:rsidDel="00000000" w:rsidR="00000000" w:rsidRPr="00000000">
        <w:rPr>
          <w:color w:val="2d3b45"/>
          <w:sz w:val="24"/>
          <w:szCs w:val="24"/>
          <w:highlight w:val="white"/>
          <w:rtl w:val="0"/>
        </w:rPr>
        <w:t xml:space="preserve">Week 2's readings are focused on the relationship between writers and editors, such as through correspondence between one another and also collaborating with writers through the use of track changes. Here I want you to practice thinking through this correspondence and collaboration. P</w:t>
      </w:r>
      <w:r w:rsidDel="00000000" w:rsidR="00000000" w:rsidRPr="00000000">
        <w:rPr>
          <w:b w:val="1"/>
          <w:color w:val="2d3b45"/>
          <w:sz w:val="24"/>
          <w:szCs w:val="24"/>
          <w:highlight w:val="white"/>
          <w:rtl w:val="0"/>
        </w:rPr>
        <w:t xml:space="preserve">ick 1 question to answer at the end of Ch. 3 (pp. 40-41) and 1 question to answer at the end of Ch. 6 (pp. 90-91).</w:t>
      </w:r>
      <w:r w:rsidDel="00000000" w:rsidR="00000000" w:rsidRPr="00000000">
        <w:rPr>
          <w:color w:val="2d3b45"/>
          <w:sz w:val="24"/>
          <w:szCs w:val="24"/>
          <w:highlight w:val="white"/>
          <w:rtl w:val="0"/>
        </w:rPr>
        <w:t xml:space="preserve"> Indicate what questions you've selected from each chapter and then respond to each question in a minimum of 150 words each. Also include any supplemental materials as appropriate. As you select a classmate to respond to, try to select someone who answered different questions or approached the same question differently from you.</w:t>
      </w:r>
    </w:p>
    <w:p w:rsidR="00000000" w:rsidDel="00000000" w:rsidP="00000000" w:rsidRDefault="00000000" w:rsidRPr="00000000" w14:paraId="00000002">
      <w:pPr>
        <w:rPr>
          <w:color w:val="2d3b45"/>
          <w:sz w:val="24"/>
          <w:szCs w:val="24"/>
          <w:highlight w:val="white"/>
        </w:rPr>
      </w:pPr>
      <w:r w:rsidDel="00000000" w:rsidR="00000000" w:rsidRPr="00000000">
        <w:rPr>
          <w:rtl w:val="0"/>
        </w:rPr>
      </w:r>
    </w:p>
    <w:p w:rsidR="00000000" w:rsidDel="00000000" w:rsidP="00000000" w:rsidRDefault="00000000" w:rsidRPr="00000000" w14:paraId="00000003">
      <w:pPr>
        <w:numPr>
          <w:ilvl w:val="0"/>
          <w:numId w:val="1"/>
        </w:numPr>
        <w:shd w:fill="eef7ff" w:val="clear"/>
        <w:ind w:left="900" w:right="360" w:hanging="360"/>
        <w:rPr>
          <w:highlight w:val="white"/>
        </w:rPr>
      </w:pPr>
      <w:hyperlink r:id="rId6">
        <w:r w:rsidDel="00000000" w:rsidR="00000000" w:rsidRPr="00000000">
          <w:rPr>
            <w:b w:val="1"/>
            <w:color w:val="2d3b45"/>
            <w:sz w:val="24"/>
            <w:szCs w:val="24"/>
            <w:highlight w:val="white"/>
            <w:u w:val="single"/>
            <w:rtl w:val="0"/>
          </w:rPr>
          <w:t xml:space="preserve">Rude and Eaton, Chapter 3: “Collaborating with Writers” (Technical Editing)</w:t>
        </w:r>
      </w:hyperlink>
      <w:r w:rsidDel="00000000" w:rsidR="00000000" w:rsidRPr="00000000">
        <w:rPr>
          <w:rtl w:val="0"/>
        </w:rPr>
      </w:r>
    </w:p>
    <w:p w:rsidR="00000000" w:rsidDel="00000000" w:rsidP="00000000" w:rsidRDefault="00000000" w:rsidRPr="00000000" w14:paraId="00000004">
      <w:pPr>
        <w:numPr>
          <w:ilvl w:val="0"/>
          <w:numId w:val="1"/>
        </w:numPr>
        <w:shd w:fill="eef7ff" w:val="clear"/>
        <w:ind w:left="900" w:right="360" w:hanging="360"/>
        <w:rPr>
          <w:highlight w:val="white"/>
        </w:rPr>
      </w:pPr>
      <w:r w:rsidDel="00000000" w:rsidR="00000000" w:rsidRPr="00000000">
        <w:rPr>
          <w:color w:val="394b58"/>
          <w:sz w:val="24"/>
          <w:szCs w:val="24"/>
          <w:highlight w:val="white"/>
          <w:rtl w:val="0"/>
        </w:rPr>
        <w:t xml:space="preserve">May 31</w:t>
      </w:r>
    </w:p>
    <w:p w:rsidR="00000000" w:rsidDel="00000000" w:rsidP="00000000" w:rsidRDefault="00000000" w:rsidRPr="00000000" w14:paraId="00000005">
      <w:pPr>
        <w:numPr>
          <w:ilvl w:val="0"/>
          <w:numId w:val="1"/>
        </w:numPr>
        <w:shd w:fill="ffffff" w:val="clear"/>
        <w:spacing w:after="0" w:before="0" w:lineRule="auto"/>
        <w:ind w:left="700" w:right="-20" w:hanging="360"/>
        <w:rPr>
          <w:highlight w:val="white"/>
        </w:rPr>
      </w:pPr>
      <w:r w:rsidDel="00000000" w:rsidR="00000000" w:rsidRPr="00000000">
        <w:rPr>
          <w:color w:val="394b58"/>
          <w:sz w:val="24"/>
          <w:szCs w:val="24"/>
          <w:highlight w:val="white"/>
          <w:rtl w:val="0"/>
        </w:rPr>
        <w:t xml:space="preserve">Page</w:t>
      </w:r>
    </w:p>
    <w:p w:rsidR="00000000" w:rsidDel="00000000" w:rsidP="00000000" w:rsidRDefault="00000000" w:rsidRPr="00000000" w14:paraId="00000006">
      <w:pPr>
        <w:numPr>
          <w:ilvl w:val="0"/>
          <w:numId w:val="1"/>
        </w:numPr>
        <w:shd w:fill="ffffff" w:val="clear"/>
        <w:ind w:left="900" w:right="360" w:hanging="360"/>
        <w:rPr>
          <w:highlight w:val="white"/>
        </w:rPr>
      </w:pPr>
      <w:hyperlink r:id="rId7">
        <w:r w:rsidDel="00000000" w:rsidR="00000000" w:rsidRPr="00000000">
          <w:rPr>
            <w:b w:val="1"/>
            <w:color w:val="2d3b45"/>
            <w:sz w:val="24"/>
            <w:szCs w:val="24"/>
            <w:highlight w:val="white"/>
            <w:u w:val="single"/>
            <w:rtl w:val="0"/>
          </w:rPr>
          <w:t xml:space="preserve">Rude and Eaton, Chapter 6: “Electronic Editing” (Technical Editing)</w:t>
        </w:r>
      </w:hyperlink>
      <w:r w:rsidDel="00000000" w:rsidR="00000000" w:rsidRPr="00000000">
        <w:rPr>
          <w:rtl w:val="0"/>
        </w:rPr>
      </w:r>
    </w:p>
    <w:p w:rsidR="00000000" w:rsidDel="00000000" w:rsidP="00000000" w:rsidRDefault="00000000" w:rsidRPr="00000000" w14:paraId="00000007">
      <w:pPr>
        <w:numPr>
          <w:ilvl w:val="0"/>
          <w:numId w:val="1"/>
        </w:numPr>
        <w:shd w:fill="ffffff" w:val="clear"/>
        <w:ind w:left="900" w:right="360" w:hanging="360"/>
        <w:rPr>
          <w:highlight w:val="white"/>
        </w:rPr>
      </w:pPr>
      <w:r w:rsidDel="00000000" w:rsidR="00000000" w:rsidRPr="00000000">
        <w:rPr>
          <w:color w:val="394b58"/>
          <w:sz w:val="24"/>
          <w:szCs w:val="24"/>
          <w:highlight w:val="white"/>
          <w:rtl w:val="0"/>
        </w:rPr>
        <w:t xml:space="preserve">May 31</w:t>
      </w:r>
    </w:p>
    <w:p w:rsidR="00000000" w:rsidDel="00000000" w:rsidP="00000000" w:rsidRDefault="00000000" w:rsidRPr="00000000" w14:paraId="00000008">
      <w:pPr>
        <w:rPr>
          <w:color w:val="2d3b45"/>
          <w:sz w:val="24"/>
          <w:szCs w:val="24"/>
          <w:highlight w:val="white"/>
        </w:rPr>
      </w:pPr>
      <w:r w:rsidDel="00000000" w:rsidR="00000000" w:rsidRPr="00000000">
        <w:rPr>
          <w:color w:val="2d3b45"/>
          <w:sz w:val="24"/>
          <w:szCs w:val="24"/>
          <w:highlight w:val="white"/>
          <w:rtl w:val="0"/>
        </w:rPr>
        <w:t xml:space="preserve">-- Rude and Eaton, CH 3: “An editor begins working at Lightning Research Center in Troy, New York and is asked to edit a research report discussing the results of an experiment that she’s never seen; she checks online but there’s no mention of this piece of technology and she can’t envision what the experiment was about, making it nearly impossible to understand the article and  therefore edit it. What should she do? </w:t>
      </w:r>
    </w:p>
    <w:p w:rsidR="00000000" w:rsidDel="00000000" w:rsidP="00000000" w:rsidRDefault="00000000" w:rsidRPr="00000000" w14:paraId="00000009">
      <w:pPr>
        <w:rPr>
          <w:color w:val="2d3b45"/>
          <w:sz w:val="24"/>
          <w:szCs w:val="24"/>
          <w:highlight w:val="white"/>
        </w:rPr>
      </w:pPr>
      <w:r w:rsidDel="00000000" w:rsidR="00000000" w:rsidRPr="00000000">
        <w:rPr>
          <w:rtl w:val="0"/>
        </w:rPr>
      </w:r>
    </w:p>
    <w:p w:rsidR="00000000" w:rsidDel="00000000" w:rsidP="00000000" w:rsidRDefault="00000000" w:rsidRPr="00000000" w14:paraId="0000000A">
      <w:pPr>
        <w:rPr>
          <w:color w:val="2d3b45"/>
          <w:sz w:val="24"/>
          <w:szCs w:val="24"/>
          <w:highlight w:val="white"/>
        </w:rPr>
      </w:pPr>
      <w:r w:rsidDel="00000000" w:rsidR="00000000" w:rsidRPr="00000000">
        <w:rPr>
          <w:color w:val="2d3b45"/>
          <w:sz w:val="24"/>
          <w:szCs w:val="24"/>
          <w:highlight w:val="white"/>
          <w:rtl w:val="0"/>
        </w:rPr>
        <w:t xml:space="preserve">From chapter 3, I’ve selected the scenario where the editor begins working at the Lightning Research Center and is expected to edit a report discussing the results of an experiment she hasn’t seen which relies on technology she is unfamiliar with and cannot find much information about online, which is serving as a barrier for her and her editing process. </w:t>
      </w:r>
    </w:p>
    <w:p w:rsidR="00000000" w:rsidDel="00000000" w:rsidP="00000000" w:rsidRDefault="00000000" w:rsidRPr="00000000" w14:paraId="0000000B">
      <w:pPr>
        <w:rPr>
          <w:color w:val="2d3b45"/>
          <w:sz w:val="24"/>
          <w:szCs w:val="24"/>
          <w:highlight w:val="white"/>
        </w:rPr>
      </w:pPr>
      <w:r w:rsidDel="00000000" w:rsidR="00000000" w:rsidRPr="00000000">
        <w:rPr>
          <w:rtl w:val="0"/>
        </w:rPr>
      </w:r>
    </w:p>
    <w:p w:rsidR="00000000" w:rsidDel="00000000" w:rsidP="00000000" w:rsidRDefault="00000000" w:rsidRPr="00000000" w14:paraId="0000000C">
      <w:pPr>
        <w:rPr>
          <w:color w:val="2d3b45"/>
          <w:sz w:val="24"/>
          <w:szCs w:val="24"/>
          <w:highlight w:val="white"/>
        </w:rPr>
      </w:pPr>
      <w:r w:rsidDel="00000000" w:rsidR="00000000" w:rsidRPr="00000000">
        <w:rPr>
          <w:color w:val="2d3b45"/>
          <w:sz w:val="24"/>
          <w:szCs w:val="24"/>
          <w:highlight w:val="white"/>
          <w:rtl w:val="0"/>
        </w:rPr>
        <w:t xml:space="preserve">I selected this prompt because I have been in a somewhat similar situation, when I was a wee little grad student doing social media interning with a local engineering firm. I felt completely lost and was quite embarrassed about it, and I felt some apprehension about asking my supervisors (all of whom were engineers), as I felt they might think I was stupid or being lazy. In retrospect, this was silly to think, because the people who hired me knew that I did not have a background in engineering and was an English graduate student, so in my particular situation, there was no expectation that I would magically understand engineering terminology and the people I was working with were actually hoping that I would come to them with these questions (but did not state this to me directly). I ended up meeting with my supervisor. The purpose of the meeting originally was for me to tell her that I felt I wasn’t the right editor for the project given my apprehension, but that I would certainly be willing to try if she would be willing to humor me with some questions that may make me look very uneducated. We ended up having a very productive discussion and working together on that first project and learning a lot from one another. Granted, in my experience, I was an intern and graduate student, and the company I was working with was small and themselves relatively inexperienced. My supervisor herself was a professor of engineering at the University of Michigan, and while she was primarily a research faculty member and had no formal instruction in pedagogy outside of what her career had provided her in the form of teaching assistantships, she did a great job of being curious and explaining how certain mechanisms worked in a way that certain mechanisms worked without ever making me feel stupid. Now granted once again, it may not always be appropriate for an editor to ask questions of this nature to a supervisor directly, especially if when the editor was hired, there was the expectation that the editor would have some technical experience with the technology. In a situation where an editor is expected to have more of this prowess or the ability to get it organically, I would suggest that the editor rely more heavily on their peer editors (if they were working on a team).   </w:t>
      </w:r>
    </w:p>
    <w:p w:rsidR="00000000" w:rsidDel="00000000" w:rsidP="00000000" w:rsidRDefault="00000000" w:rsidRPr="00000000" w14:paraId="0000000D">
      <w:pPr>
        <w:rPr>
          <w:color w:val="2d3b45"/>
          <w:sz w:val="24"/>
          <w:szCs w:val="24"/>
          <w:highlight w:val="white"/>
        </w:rPr>
      </w:pPr>
      <w:r w:rsidDel="00000000" w:rsidR="00000000" w:rsidRPr="00000000">
        <w:rPr>
          <w:rtl w:val="0"/>
        </w:rPr>
      </w:r>
    </w:p>
    <w:p w:rsidR="00000000" w:rsidDel="00000000" w:rsidP="00000000" w:rsidRDefault="00000000" w:rsidRPr="00000000" w14:paraId="0000000E">
      <w:pPr>
        <w:rPr>
          <w:color w:val="2d3b45"/>
          <w:sz w:val="24"/>
          <w:szCs w:val="24"/>
          <w:highlight w:val="white"/>
        </w:rPr>
      </w:pPr>
      <w:r w:rsidDel="00000000" w:rsidR="00000000" w:rsidRPr="00000000">
        <w:rPr>
          <w:color w:val="2d3b45"/>
          <w:sz w:val="24"/>
          <w:szCs w:val="24"/>
          <w:highlight w:val="white"/>
          <w:rtl w:val="0"/>
        </w:rPr>
        <w:t xml:space="preserve">-- Rude and Eaton, CH 6: Silent editing - In what circumstances might it be appropriate to change the file directly without recording every change? When should you mark the changes you make to a file?</w:t>
      </w:r>
    </w:p>
    <w:p w:rsidR="00000000" w:rsidDel="00000000" w:rsidP="00000000" w:rsidRDefault="00000000" w:rsidRPr="00000000" w14:paraId="0000000F">
      <w:pPr>
        <w:rPr>
          <w:color w:val="2d3b45"/>
          <w:sz w:val="24"/>
          <w:szCs w:val="24"/>
          <w:highlight w:val="white"/>
        </w:rPr>
      </w:pPr>
      <w:r w:rsidDel="00000000" w:rsidR="00000000" w:rsidRPr="00000000">
        <w:rPr>
          <w:rtl w:val="0"/>
        </w:rPr>
      </w:r>
    </w:p>
    <w:p w:rsidR="00000000" w:rsidDel="00000000" w:rsidP="00000000" w:rsidRDefault="00000000" w:rsidRPr="00000000" w14:paraId="00000010">
      <w:pPr>
        <w:rPr>
          <w:color w:val="2d3b45"/>
          <w:sz w:val="24"/>
          <w:szCs w:val="24"/>
          <w:highlight w:val="white"/>
        </w:rPr>
      </w:pPr>
      <w:r w:rsidDel="00000000" w:rsidR="00000000" w:rsidRPr="00000000">
        <w:rPr>
          <w:color w:val="2d3b45"/>
          <w:sz w:val="24"/>
          <w:szCs w:val="24"/>
          <w:highlight w:val="white"/>
          <w:rtl w:val="0"/>
        </w:rPr>
        <w:t xml:space="preserve">The second scenario I’ve selected from chapter six is in regard to silent editing, and asks in what cases it may be appropriate to change the file directly without recording every change and when it is appropriate to mark changes made to a file. In my opinion, I’d never make any change from a client’s original file. I would always start with my own copy, both for posterity, and for our own sake of seeing how the file has changed through the editing process. It may be appropriate for some editors (especially with permission from their clients) to leave changes unrecorded if they are, for example, obvious, non-recurring typos or style matters and the editor and author are working together under the understanding that the document must be produced into a perfect AP style, for example. When I’m doing this kind of editing and I notice the client making the same variety of errors due to what appears to be a lack of understanding of style conventions, I’ll mark the changes and add a note about them, saying something like “In AP Style, this needs to be capitalized consistently.” At the same time, context would change my decision-making process here significantly. I can imagine some editing contexts where an author might not want to learn about AP style or care about doing it correctly the first time (in a case where the author would feel that was ‘my job,’ for example), and if that were communicated, I would certainly be cautious of making comments that could be read as pedagogical.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courses.ucf.edu/courses/1432197/modules/items/16910982" TargetMode="External"/><Relationship Id="rId7" Type="http://schemas.openxmlformats.org/officeDocument/2006/relationships/hyperlink" Target="https://webcourses.ucf.edu/courses/1432197/modules/items/169109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