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55937" w:rsidRDefault="00000000">
      <w:pPr>
        <w:spacing w:line="240" w:lineRule="auto"/>
        <w:jc w:val="center"/>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t>Genderqueer/Enby/</w:t>
      </w:r>
      <w:proofErr w:type="spellStart"/>
      <w:r>
        <w:rPr>
          <w:rFonts w:ascii="Times New Roman" w:eastAsia="Times New Roman" w:hAnsi="Times New Roman" w:cs="Times New Roman"/>
          <w:sz w:val="24"/>
          <w:szCs w:val="24"/>
          <w:highlight w:val="white"/>
          <w:u w:val="single"/>
        </w:rPr>
        <w:t>Auti</w:t>
      </w:r>
      <w:proofErr w:type="spellEnd"/>
      <w:r>
        <w:rPr>
          <w:rFonts w:ascii="Times New Roman" w:eastAsia="Times New Roman" w:hAnsi="Times New Roman" w:cs="Times New Roman"/>
          <w:sz w:val="24"/>
          <w:szCs w:val="24"/>
          <w:highlight w:val="white"/>
          <w:u w:val="single"/>
        </w:rPr>
        <w:t>: an autoethnography of the Positive Social Work of Nonbinary</w:t>
      </w:r>
    </w:p>
    <w:p w14:paraId="00000002" w14:textId="77777777" w:rsidR="00B55937" w:rsidRDefault="00B55937">
      <w:pPr>
        <w:spacing w:line="240" w:lineRule="auto"/>
        <w:ind w:firstLine="720"/>
        <w:jc w:val="center"/>
        <w:rPr>
          <w:rFonts w:ascii="Times New Roman" w:eastAsia="Times New Roman" w:hAnsi="Times New Roman" w:cs="Times New Roman"/>
          <w:sz w:val="24"/>
          <w:szCs w:val="24"/>
          <w:highlight w:val="white"/>
        </w:rPr>
      </w:pPr>
    </w:p>
    <w:p w14:paraId="00000003" w14:textId="77777777" w:rsidR="00B55937" w:rsidRPr="00F66AD8" w:rsidRDefault="00000000" w:rsidP="00F66AD8">
      <w:pPr>
        <w:spacing w:line="480" w:lineRule="auto"/>
        <w:ind w:firstLine="720"/>
        <w:contextualSpacing/>
        <w:rPr>
          <w:rFonts w:ascii="Times New Roman" w:eastAsia="Times New Roman" w:hAnsi="Times New Roman" w:cs="Times New Roman"/>
          <w:sz w:val="24"/>
          <w:szCs w:val="24"/>
        </w:rPr>
      </w:pPr>
      <w:r w:rsidRPr="00F66AD8">
        <w:rPr>
          <w:rFonts w:ascii="Times New Roman" w:eastAsia="Times New Roman" w:hAnsi="Times New Roman" w:cs="Times New Roman"/>
          <w:sz w:val="24"/>
          <w:szCs w:val="24"/>
        </w:rPr>
        <w:t xml:space="preserve">In the 2022 work </w:t>
      </w:r>
      <w:r w:rsidRPr="00F66AD8">
        <w:rPr>
          <w:rFonts w:ascii="Times New Roman" w:eastAsia="Times New Roman" w:hAnsi="Times New Roman" w:cs="Times New Roman"/>
          <w:i/>
          <w:sz w:val="24"/>
          <w:szCs w:val="24"/>
        </w:rPr>
        <w:t>We are All Nonbinary: A Brief History of Accidents</w:t>
      </w:r>
      <w:r w:rsidRPr="00F66AD8">
        <w:rPr>
          <w:rFonts w:ascii="Times New Roman" w:eastAsia="Times New Roman" w:hAnsi="Times New Roman" w:cs="Times New Roman"/>
          <w:sz w:val="24"/>
          <w:szCs w:val="24"/>
        </w:rPr>
        <w:t xml:space="preserve">, author </w:t>
      </w:r>
      <w:proofErr w:type="spellStart"/>
      <w:r w:rsidRPr="00F66AD8">
        <w:rPr>
          <w:rFonts w:ascii="Times New Roman" w:eastAsia="Times New Roman" w:hAnsi="Times New Roman" w:cs="Times New Roman"/>
          <w:sz w:val="24"/>
          <w:szCs w:val="24"/>
        </w:rPr>
        <w:t>Kadji</w:t>
      </w:r>
      <w:proofErr w:type="spellEnd"/>
      <w:r w:rsidRPr="00F66AD8">
        <w:rPr>
          <w:rFonts w:ascii="Times New Roman" w:eastAsia="Times New Roman" w:hAnsi="Times New Roman" w:cs="Times New Roman"/>
          <w:sz w:val="24"/>
          <w:szCs w:val="24"/>
        </w:rPr>
        <w:t xml:space="preserve"> Amin asserts that the modern, popularized construct of nonbinary identity has paradoxically strengthened the trans-versus-the-rest divide by reinforcing the notion of gender as a psychic construct rather than a socialized experience in which any iota of queerness ‘contaminates’ an idealized, imaginary ‘cisgender reality’</w:t>
      </w:r>
      <w:r w:rsidRPr="00F66AD8">
        <w:rPr>
          <w:rFonts w:ascii="Times New Roman" w:eastAsia="Times New Roman" w:hAnsi="Times New Roman" w:cs="Times New Roman"/>
          <w:sz w:val="24"/>
          <w:szCs w:val="24"/>
          <w:vertAlign w:val="superscript"/>
        </w:rPr>
        <w:footnoteReference w:id="1"/>
      </w:r>
      <w:r w:rsidRPr="00F66AD8">
        <w:rPr>
          <w:rFonts w:ascii="Times New Roman" w:eastAsia="Times New Roman" w:hAnsi="Times New Roman" w:cs="Times New Roman"/>
          <w:sz w:val="24"/>
          <w:szCs w:val="24"/>
        </w:rPr>
        <w:t xml:space="preserve">. Amin weaves a genealogy for </w:t>
      </w:r>
      <w:r w:rsidRPr="00F66AD8">
        <w:rPr>
          <w:rFonts w:ascii="Times New Roman" w:eastAsia="Times New Roman" w:hAnsi="Times New Roman" w:cs="Times New Roman"/>
          <w:i/>
          <w:sz w:val="24"/>
          <w:szCs w:val="24"/>
        </w:rPr>
        <w:t>nonbinary</w:t>
      </w:r>
      <w:r w:rsidRPr="00F66AD8">
        <w:rPr>
          <w:rFonts w:ascii="Times New Roman" w:eastAsia="Times New Roman" w:hAnsi="Times New Roman" w:cs="Times New Roman"/>
          <w:sz w:val="24"/>
          <w:szCs w:val="24"/>
        </w:rPr>
        <w:t xml:space="preserve"> which purports that this coinage of the identity emerged from a series of accidents which include divergence as means of smoothing imperfect matches of taxonomic definition, binary thinking, the idealization of ‘normative identities’ like </w:t>
      </w:r>
      <w:r w:rsidRPr="00F66AD8">
        <w:rPr>
          <w:rFonts w:ascii="Times New Roman" w:eastAsia="Times New Roman" w:hAnsi="Times New Roman" w:cs="Times New Roman"/>
          <w:i/>
          <w:sz w:val="24"/>
          <w:szCs w:val="24"/>
        </w:rPr>
        <w:t>cisgender</w:t>
      </w:r>
      <w:r w:rsidRPr="00F66AD8">
        <w:rPr>
          <w:rFonts w:ascii="Times New Roman" w:eastAsia="Times New Roman" w:hAnsi="Times New Roman" w:cs="Times New Roman"/>
          <w:sz w:val="24"/>
          <w:szCs w:val="24"/>
        </w:rPr>
        <w:t>, and last, contemporary western notions of gender as occurring in the head as opposed to occurring in social interactions.</w:t>
      </w:r>
      <w:r w:rsidRPr="00F66AD8">
        <w:rPr>
          <w:rFonts w:ascii="Times New Roman" w:eastAsia="Times New Roman" w:hAnsi="Times New Roman" w:cs="Times New Roman"/>
          <w:sz w:val="24"/>
          <w:szCs w:val="24"/>
          <w:vertAlign w:val="superscript"/>
        </w:rPr>
        <w:footnoteReference w:id="2"/>
      </w:r>
      <w:r w:rsidRPr="00F66AD8">
        <w:rPr>
          <w:rFonts w:ascii="Times New Roman" w:eastAsia="Times New Roman" w:hAnsi="Times New Roman" w:cs="Times New Roman"/>
          <w:sz w:val="24"/>
          <w:szCs w:val="24"/>
        </w:rPr>
        <w:t xml:space="preserve"> In addition to this history, however, Amin provides critique of the current use of nonbinary as “not a true social category but rather a vast umbrella with no positive social content,” (Amin 117)</w:t>
      </w:r>
      <w:r w:rsidRPr="00F66AD8">
        <w:rPr>
          <w:rFonts w:ascii="Times New Roman" w:eastAsia="Times New Roman" w:hAnsi="Times New Roman" w:cs="Times New Roman"/>
          <w:sz w:val="24"/>
          <w:szCs w:val="24"/>
          <w:vertAlign w:val="superscript"/>
        </w:rPr>
        <w:footnoteReference w:id="3"/>
      </w:r>
      <w:r w:rsidRPr="00F66AD8">
        <w:rPr>
          <w:rFonts w:ascii="Times New Roman" w:eastAsia="Times New Roman" w:hAnsi="Times New Roman" w:cs="Times New Roman"/>
          <w:sz w:val="24"/>
          <w:szCs w:val="24"/>
        </w:rPr>
        <w:t xml:space="preserve">. </w:t>
      </w:r>
      <w:r w:rsidRPr="00F66AD8">
        <w:rPr>
          <w:rFonts w:ascii="Times New Roman" w:eastAsia="Times New Roman" w:hAnsi="Times New Roman" w:cs="Times New Roman"/>
          <w:sz w:val="24"/>
          <w:szCs w:val="24"/>
          <w:highlight w:val="white"/>
        </w:rPr>
        <w:t xml:space="preserve">This is because unlike ‘ordinary’ trans femmes or </w:t>
      </w:r>
      <w:proofErr w:type="spellStart"/>
      <w:r w:rsidRPr="00F66AD8">
        <w:rPr>
          <w:rFonts w:ascii="Times New Roman" w:eastAsia="Times New Roman" w:hAnsi="Times New Roman" w:cs="Times New Roman"/>
          <w:sz w:val="24"/>
          <w:szCs w:val="24"/>
          <w:highlight w:val="white"/>
        </w:rPr>
        <w:t>transmascs</w:t>
      </w:r>
      <w:proofErr w:type="spellEnd"/>
      <w:r w:rsidRPr="00F66AD8">
        <w:rPr>
          <w:rFonts w:ascii="Times New Roman" w:eastAsia="Times New Roman" w:hAnsi="Times New Roman" w:cs="Times New Roman"/>
          <w:sz w:val="24"/>
          <w:szCs w:val="24"/>
          <w:highlight w:val="white"/>
        </w:rPr>
        <w:t xml:space="preserve">, who transition from an identifiable positionality toward a tangible </w:t>
      </w:r>
      <w:r w:rsidRPr="00F66AD8">
        <w:rPr>
          <w:rFonts w:ascii="Times New Roman" w:eastAsia="Times New Roman" w:hAnsi="Times New Roman" w:cs="Times New Roman"/>
          <w:i/>
          <w:sz w:val="24"/>
          <w:szCs w:val="24"/>
          <w:highlight w:val="white"/>
        </w:rPr>
        <w:t>something else</w:t>
      </w:r>
      <w:r w:rsidRPr="00F66AD8">
        <w:rPr>
          <w:rFonts w:ascii="Times New Roman" w:eastAsia="Times New Roman" w:hAnsi="Times New Roman" w:cs="Times New Roman"/>
          <w:sz w:val="24"/>
          <w:szCs w:val="24"/>
          <w:highlight w:val="white"/>
        </w:rPr>
        <w:t xml:space="preserve">, those who identify as nonbinary may not transition at </w:t>
      </w:r>
      <w:proofErr w:type="gramStart"/>
      <w:r w:rsidRPr="00F66AD8">
        <w:rPr>
          <w:rFonts w:ascii="Times New Roman" w:eastAsia="Times New Roman" w:hAnsi="Times New Roman" w:cs="Times New Roman"/>
          <w:sz w:val="24"/>
          <w:szCs w:val="24"/>
          <w:highlight w:val="white"/>
        </w:rPr>
        <w:t>all, and</w:t>
      </w:r>
      <w:proofErr w:type="gramEnd"/>
      <w:r w:rsidRPr="00F66AD8">
        <w:rPr>
          <w:rFonts w:ascii="Times New Roman" w:eastAsia="Times New Roman" w:hAnsi="Times New Roman" w:cs="Times New Roman"/>
          <w:sz w:val="24"/>
          <w:szCs w:val="24"/>
          <w:highlight w:val="white"/>
        </w:rPr>
        <w:t xml:space="preserve"> may express their gender identities in a way that appears normative to what they were assigned at birth</w:t>
      </w:r>
      <w:r w:rsidRPr="00F66AD8">
        <w:rPr>
          <w:rFonts w:ascii="Times New Roman" w:eastAsia="Times New Roman" w:hAnsi="Times New Roman" w:cs="Times New Roman"/>
          <w:sz w:val="24"/>
          <w:szCs w:val="24"/>
          <w:highlight w:val="white"/>
          <w:vertAlign w:val="superscript"/>
        </w:rPr>
        <w:footnoteReference w:id="4"/>
      </w:r>
      <w:r w:rsidRPr="00F66AD8">
        <w:rPr>
          <w:rFonts w:ascii="Times New Roman" w:eastAsia="Times New Roman" w:hAnsi="Times New Roman" w:cs="Times New Roman"/>
          <w:sz w:val="24"/>
          <w:szCs w:val="24"/>
          <w:highlight w:val="white"/>
        </w:rPr>
        <w:t xml:space="preserve">. It must be noted that Amin does not reject the notion of gender identity, nor does the author reject any culturally situated identities such as </w:t>
      </w:r>
      <w:r w:rsidRPr="00F66AD8">
        <w:rPr>
          <w:rFonts w:ascii="Times New Roman" w:eastAsia="Times New Roman" w:hAnsi="Times New Roman" w:cs="Times New Roman"/>
          <w:i/>
          <w:sz w:val="24"/>
          <w:szCs w:val="24"/>
          <w:highlight w:val="white"/>
        </w:rPr>
        <w:t>two-spirit</w:t>
      </w:r>
      <w:r w:rsidRPr="00F66AD8">
        <w:rPr>
          <w:rFonts w:ascii="Times New Roman" w:eastAsia="Times New Roman" w:hAnsi="Times New Roman" w:cs="Times New Roman"/>
          <w:sz w:val="24"/>
          <w:szCs w:val="24"/>
          <w:highlight w:val="white"/>
        </w:rPr>
        <w:t xml:space="preserve"> which may be included under today’s nonbinary umbrella. Amin specifically rejects that the psychic work of nonbinary identity in those who are pre-transition or who elect to never transition is as ‘socially relevant’ as </w:t>
      </w:r>
      <w:r w:rsidRPr="00F66AD8">
        <w:rPr>
          <w:rFonts w:ascii="Times New Roman" w:eastAsia="Times New Roman" w:hAnsi="Times New Roman" w:cs="Times New Roman"/>
          <w:sz w:val="24"/>
          <w:szCs w:val="24"/>
          <w:highlight w:val="white"/>
        </w:rPr>
        <w:lastRenderedPageBreak/>
        <w:t xml:space="preserve">the act of </w:t>
      </w:r>
      <w:r w:rsidRPr="00F66AD8">
        <w:rPr>
          <w:rFonts w:ascii="Times New Roman" w:eastAsia="Times New Roman" w:hAnsi="Times New Roman" w:cs="Times New Roman"/>
          <w:i/>
          <w:sz w:val="24"/>
          <w:szCs w:val="24"/>
          <w:highlight w:val="white"/>
        </w:rPr>
        <w:t>transitioning</w:t>
      </w:r>
      <w:r w:rsidRPr="00F66AD8">
        <w:rPr>
          <w:rFonts w:ascii="Times New Roman" w:eastAsia="Times New Roman" w:hAnsi="Times New Roman" w:cs="Times New Roman"/>
          <w:i/>
          <w:sz w:val="24"/>
          <w:szCs w:val="24"/>
          <w:highlight w:val="white"/>
          <w:vertAlign w:val="superscript"/>
        </w:rPr>
        <w:footnoteReference w:id="5"/>
      </w:r>
      <w:r w:rsidRPr="00F66AD8">
        <w:rPr>
          <w:rFonts w:ascii="Times New Roman" w:eastAsia="Times New Roman" w:hAnsi="Times New Roman" w:cs="Times New Roman"/>
          <w:sz w:val="24"/>
          <w:szCs w:val="24"/>
        </w:rPr>
        <w:t>. This critique, however, comes with the caveat that any ‘problems’ of nonbinary identity are certainly not the fault of those who choose this identifier, though the assertion remains that the proliferation of the term and those of us who use it participate in “the harm that the coinage and idealization of normative identities—from heterosexuality, to cisgender, to binary… [has wrought] on ordinary gender-variant people, particularly trans femmes, across the twentieth and twenty-first centuries,” (Amin 107)</w:t>
      </w:r>
      <w:r w:rsidRPr="00F66AD8">
        <w:rPr>
          <w:rFonts w:ascii="Times New Roman" w:eastAsia="Times New Roman" w:hAnsi="Times New Roman" w:cs="Times New Roman"/>
          <w:sz w:val="24"/>
          <w:szCs w:val="24"/>
          <w:vertAlign w:val="superscript"/>
        </w:rPr>
        <w:footnoteReference w:id="6"/>
      </w:r>
      <w:r w:rsidRPr="00F66AD8">
        <w:rPr>
          <w:rFonts w:ascii="Times New Roman" w:eastAsia="Times New Roman" w:hAnsi="Times New Roman" w:cs="Times New Roman"/>
          <w:sz w:val="24"/>
          <w:szCs w:val="24"/>
        </w:rPr>
        <w:t xml:space="preserve">. </w:t>
      </w:r>
    </w:p>
    <w:p w14:paraId="00000004" w14:textId="77777777" w:rsidR="00B55937" w:rsidRPr="00F66AD8" w:rsidRDefault="00000000" w:rsidP="00F66AD8">
      <w:pPr>
        <w:spacing w:line="480" w:lineRule="auto"/>
        <w:ind w:firstLine="720"/>
        <w:contextualSpacing/>
        <w:rPr>
          <w:rFonts w:ascii="Times New Roman" w:eastAsia="Times New Roman" w:hAnsi="Times New Roman" w:cs="Times New Roman"/>
          <w:sz w:val="24"/>
          <w:szCs w:val="24"/>
        </w:rPr>
      </w:pPr>
      <w:r w:rsidRPr="00F66AD8">
        <w:rPr>
          <w:rFonts w:ascii="Times New Roman" w:eastAsia="Times New Roman" w:hAnsi="Times New Roman" w:cs="Times New Roman"/>
          <w:sz w:val="24"/>
          <w:szCs w:val="24"/>
        </w:rPr>
        <w:t>No positive social content? Not a true social category? These are weighty claims, particularly about an identity that as many as 26% of LGBTQ youth ages 13 to 24 embraced and self-identified with in a 2021 survey conducted by The Trevor Project</w:t>
      </w:r>
      <w:r w:rsidRPr="00F66AD8">
        <w:rPr>
          <w:rFonts w:ascii="Times New Roman" w:eastAsia="Times New Roman" w:hAnsi="Times New Roman" w:cs="Times New Roman"/>
          <w:sz w:val="24"/>
          <w:szCs w:val="24"/>
          <w:vertAlign w:val="superscript"/>
        </w:rPr>
        <w:footnoteReference w:id="7"/>
      </w:r>
      <w:r w:rsidRPr="00F66AD8">
        <w:rPr>
          <w:rFonts w:ascii="Times New Roman" w:eastAsia="Times New Roman" w:hAnsi="Times New Roman" w:cs="Times New Roman"/>
          <w:sz w:val="24"/>
          <w:szCs w:val="24"/>
        </w:rPr>
        <w:t xml:space="preserve">. </w:t>
      </w:r>
      <w:r w:rsidRPr="00F66AD8">
        <w:rPr>
          <w:rFonts w:ascii="Times New Roman" w:eastAsia="Times New Roman" w:hAnsi="Times New Roman" w:cs="Times New Roman"/>
          <w:sz w:val="24"/>
          <w:szCs w:val="24"/>
          <w:highlight w:val="white"/>
        </w:rPr>
        <w:t xml:space="preserve">While I understand the logic behind the argument that the psychic work of identity and the work of physical transitioning are not the same, and that as Butler states, “identification </w:t>
      </w:r>
      <w:r w:rsidRPr="00F66AD8">
        <w:rPr>
          <w:rFonts w:ascii="Times New Roman" w:eastAsia="Times New Roman" w:hAnsi="Times New Roman" w:cs="Times New Roman"/>
          <w:sz w:val="24"/>
          <w:szCs w:val="24"/>
        </w:rPr>
        <w:t xml:space="preserve">is not identity,’ (Amin qtd. Butler 115-116 </w:t>
      </w:r>
      <w:r w:rsidRPr="00F66AD8">
        <w:rPr>
          <w:rFonts w:ascii="Times New Roman" w:eastAsia="Times New Roman" w:hAnsi="Times New Roman" w:cs="Times New Roman"/>
          <w:sz w:val="24"/>
          <w:szCs w:val="24"/>
          <w:vertAlign w:val="superscript"/>
        </w:rPr>
        <w:footnoteReference w:id="8"/>
      </w:r>
      <w:r w:rsidRPr="00F66AD8">
        <w:rPr>
          <w:rFonts w:ascii="Times New Roman" w:eastAsia="Times New Roman" w:hAnsi="Times New Roman" w:cs="Times New Roman"/>
          <w:sz w:val="24"/>
          <w:szCs w:val="24"/>
        </w:rPr>
        <w:t>) I am, as a nonbinary non-tenured and quite junior academic living in the State of Florida and working the shadow of the 2022 House Bill 1557 (colloquially known as the “Don’t Say Gay Bill”)</w:t>
      </w:r>
      <w:r w:rsidRPr="00F66AD8">
        <w:rPr>
          <w:rFonts w:ascii="Times New Roman" w:eastAsia="Times New Roman" w:hAnsi="Times New Roman" w:cs="Times New Roman"/>
          <w:sz w:val="24"/>
          <w:szCs w:val="24"/>
          <w:vertAlign w:val="superscript"/>
        </w:rPr>
        <w:footnoteReference w:id="9"/>
      </w:r>
      <w:r w:rsidRPr="00F66AD8">
        <w:rPr>
          <w:rFonts w:ascii="Times New Roman" w:eastAsia="Times New Roman" w:hAnsi="Times New Roman" w:cs="Times New Roman"/>
          <w:sz w:val="24"/>
          <w:szCs w:val="24"/>
        </w:rPr>
        <w:t>, deeply skeptical of the notion that announcing one’s identity is, in the context of queer lives and experiences</w:t>
      </w:r>
      <w:r w:rsidRPr="00F66AD8">
        <w:rPr>
          <w:rFonts w:ascii="Times New Roman" w:eastAsia="Times New Roman" w:hAnsi="Times New Roman" w:cs="Times New Roman"/>
          <w:sz w:val="24"/>
          <w:szCs w:val="24"/>
          <w:highlight w:val="white"/>
        </w:rPr>
        <w:t>, inferior to the idea of living up to a prescribed ‘enactment’ of what it means to live that identity as set forth by those living and working in safer contexts.</w:t>
      </w:r>
      <w:r w:rsidRPr="00F66AD8">
        <w:rPr>
          <w:rFonts w:ascii="Times New Roman" w:eastAsia="Times New Roman" w:hAnsi="Times New Roman" w:cs="Times New Roman"/>
          <w:sz w:val="24"/>
          <w:szCs w:val="24"/>
        </w:rPr>
        <w:t xml:space="preserve"> </w:t>
      </w:r>
      <w:r w:rsidRPr="00F66AD8">
        <w:rPr>
          <w:rFonts w:ascii="Times New Roman" w:eastAsia="Times New Roman" w:hAnsi="Times New Roman" w:cs="Times New Roman"/>
          <w:sz w:val="24"/>
          <w:szCs w:val="24"/>
          <w:highlight w:val="white"/>
        </w:rPr>
        <w:t xml:space="preserve">What exactly constitutes the ‘socially relevant’ act of transitioning? Where does this social relevance divide from psychic work? Is it the moment when I ask my friends and coworkers to </w:t>
      </w:r>
      <w:proofErr w:type="gramStart"/>
      <w:r w:rsidRPr="00F66AD8">
        <w:rPr>
          <w:rFonts w:ascii="Times New Roman" w:eastAsia="Times New Roman" w:hAnsi="Times New Roman" w:cs="Times New Roman"/>
          <w:sz w:val="24"/>
          <w:szCs w:val="24"/>
          <w:highlight w:val="white"/>
        </w:rPr>
        <w:t>use</w:t>
      </w:r>
      <w:proofErr w:type="gramEnd"/>
      <w:r w:rsidRPr="00F66AD8">
        <w:rPr>
          <w:rFonts w:ascii="Times New Roman" w:eastAsia="Times New Roman" w:hAnsi="Times New Roman" w:cs="Times New Roman"/>
          <w:sz w:val="24"/>
          <w:szCs w:val="24"/>
          <w:highlight w:val="white"/>
        </w:rPr>
        <w:t xml:space="preserve"> </w:t>
      </w:r>
      <w:r w:rsidRPr="00F66AD8">
        <w:rPr>
          <w:rFonts w:ascii="Times New Roman" w:eastAsia="Times New Roman" w:hAnsi="Times New Roman" w:cs="Times New Roman"/>
          <w:i/>
          <w:sz w:val="24"/>
          <w:szCs w:val="24"/>
          <w:highlight w:val="white"/>
        </w:rPr>
        <w:t>they/them</w:t>
      </w:r>
      <w:r w:rsidRPr="00F66AD8">
        <w:rPr>
          <w:rFonts w:ascii="Times New Roman" w:eastAsia="Times New Roman" w:hAnsi="Times New Roman" w:cs="Times New Roman"/>
          <w:sz w:val="24"/>
          <w:szCs w:val="24"/>
          <w:highlight w:val="white"/>
        </w:rPr>
        <w:t xml:space="preserve">, knowing full well that the average person, queer or not, would call </w:t>
      </w:r>
      <w:r w:rsidRPr="00F66AD8">
        <w:rPr>
          <w:rFonts w:ascii="Times New Roman" w:eastAsia="Times New Roman" w:hAnsi="Times New Roman" w:cs="Times New Roman"/>
          <w:sz w:val="24"/>
          <w:szCs w:val="24"/>
          <w:highlight w:val="white"/>
        </w:rPr>
        <w:lastRenderedPageBreak/>
        <w:t xml:space="preserve">me a she if they saw me walking down the street? Is it when I put my pronouns on my syllabus? When I legally change my name on a document? Is it cross-dressing? Chest-binding? HRT? Surgical transition? </w:t>
      </w:r>
    </w:p>
    <w:p w14:paraId="00000006" w14:textId="419E2C6D" w:rsidR="00B55937" w:rsidRPr="00F66AD8" w:rsidRDefault="00000000" w:rsidP="00F66AD8">
      <w:pPr>
        <w:spacing w:line="480" w:lineRule="auto"/>
        <w:ind w:firstLine="720"/>
        <w:contextualSpacing/>
        <w:rPr>
          <w:rFonts w:ascii="Times New Roman" w:eastAsia="Times New Roman" w:hAnsi="Times New Roman" w:cs="Times New Roman"/>
          <w:sz w:val="24"/>
          <w:szCs w:val="24"/>
        </w:rPr>
      </w:pPr>
      <w:r w:rsidRPr="00F66AD8">
        <w:rPr>
          <w:rFonts w:ascii="Times New Roman" w:eastAsia="Times New Roman" w:hAnsi="Times New Roman" w:cs="Times New Roman"/>
          <w:sz w:val="24"/>
          <w:szCs w:val="24"/>
        </w:rPr>
        <w:t xml:space="preserve">Amin claims that people many elect </w:t>
      </w:r>
      <w:proofErr w:type="gramStart"/>
      <w:r w:rsidRPr="00F66AD8">
        <w:rPr>
          <w:rFonts w:ascii="Times New Roman" w:eastAsia="Times New Roman" w:hAnsi="Times New Roman" w:cs="Times New Roman"/>
          <w:sz w:val="24"/>
          <w:szCs w:val="24"/>
        </w:rPr>
        <w:t>nonbinary</w:t>
      </w:r>
      <w:proofErr w:type="gramEnd"/>
      <w:r w:rsidRPr="00F66AD8">
        <w:rPr>
          <w:rFonts w:ascii="Times New Roman" w:eastAsia="Times New Roman" w:hAnsi="Times New Roman" w:cs="Times New Roman"/>
          <w:sz w:val="24"/>
          <w:szCs w:val="24"/>
        </w:rPr>
        <w:t xml:space="preserve"> as an identifier in part due to a misreading of Butler’s </w:t>
      </w:r>
      <w:r w:rsidRPr="00F66AD8">
        <w:rPr>
          <w:rFonts w:ascii="Times New Roman" w:eastAsia="Times New Roman" w:hAnsi="Times New Roman" w:cs="Times New Roman"/>
          <w:i/>
          <w:sz w:val="24"/>
          <w:szCs w:val="24"/>
        </w:rPr>
        <w:t>Gender Trouble</w:t>
      </w:r>
      <w:r w:rsidRPr="00F66AD8">
        <w:rPr>
          <w:rFonts w:ascii="Times New Roman" w:eastAsia="Times New Roman" w:hAnsi="Times New Roman" w:cs="Times New Roman"/>
          <w:sz w:val="24"/>
          <w:szCs w:val="24"/>
        </w:rPr>
        <w:t xml:space="preserve">, where these nonbinary subjects claim to radically reject gender as a social construct by rejecting the ontological nature of gender as a binarized construct. In this supposed misreading: </w:t>
      </w:r>
    </w:p>
    <w:p w14:paraId="00000007" w14:textId="77777777" w:rsidR="00B55937" w:rsidRDefault="00000000">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radical to be nonbinary and normative to be binary…all ‘woke’ people should be nonbinary; only the politically retrograde would subscribe to a binary gender identity, much less believe in binary gender at all,” (Amin 115). </w:t>
      </w:r>
      <w:r>
        <w:rPr>
          <w:rFonts w:ascii="Times New Roman" w:eastAsia="Times New Roman" w:hAnsi="Times New Roman" w:cs="Times New Roman"/>
          <w:sz w:val="24"/>
          <w:szCs w:val="24"/>
          <w:vertAlign w:val="superscript"/>
        </w:rPr>
        <w:footnoteReference w:id="10"/>
      </w:r>
    </w:p>
    <w:p w14:paraId="00000008" w14:textId="77777777" w:rsidR="00B55937" w:rsidRDefault="00B55937">
      <w:pPr>
        <w:spacing w:line="240" w:lineRule="auto"/>
        <w:ind w:firstLine="720"/>
        <w:rPr>
          <w:rFonts w:ascii="Times New Roman" w:eastAsia="Times New Roman" w:hAnsi="Times New Roman" w:cs="Times New Roman"/>
          <w:sz w:val="24"/>
          <w:szCs w:val="24"/>
        </w:rPr>
      </w:pPr>
    </w:p>
    <w:p w14:paraId="00000009" w14:textId="77777777" w:rsidR="00B55937" w:rsidRDefault="00000000" w:rsidP="00F66AD8">
      <w:pPr>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critique is limited to the post-2008 construction of gender nonbinary as interpreted by persons who do not always present or strive to present as ‘visibly queer,’ and does not include any additional variant identities from past </w:t>
      </w:r>
      <w:proofErr w:type="spellStart"/>
      <w:r>
        <w:rPr>
          <w:rFonts w:ascii="Times New Roman" w:eastAsia="Times New Roman" w:hAnsi="Times New Roman" w:cs="Times New Roman"/>
          <w:sz w:val="24"/>
          <w:szCs w:val="24"/>
        </w:rPr>
        <w:t>kairotic</w:t>
      </w:r>
      <w:proofErr w:type="spellEnd"/>
      <w:r>
        <w:rPr>
          <w:rFonts w:ascii="Times New Roman" w:eastAsia="Times New Roman" w:hAnsi="Times New Roman" w:cs="Times New Roman"/>
          <w:sz w:val="24"/>
          <w:szCs w:val="24"/>
        </w:rPr>
        <w:t xml:space="preserve"> moments, including identities such as </w:t>
      </w:r>
      <w:r>
        <w:rPr>
          <w:rFonts w:ascii="Times New Roman" w:eastAsia="Times New Roman" w:hAnsi="Times New Roman" w:cs="Times New Roman"/>
          <w:i/>
          <w:sz w:val="24"/>
          <w:szCs w:val="24"/>
        </w:rPr>
        <w:t xml:space="preserve">genderqueer </w:t>
      </w:r>
      <w:r>
        <w:rPr>
          <w:rFonts w:ascii="Times New Roman" w:eastAsia="Times New Roman" w:hAnsi="Times New Roman" w:cs="Times New Roman"/>
          <w:sz w:val="24"/>
          <w:szCs w:val="24"/>
        </w:rPr>
        <w:t xml:space="preserve">or </w:t>
      </w:r>
      <w:r>
        <w:rPr>
          <w:rFonts w:ascii="Times New Roman" w:eastAsia="Times New Roman" w:hAnsi="Times New Roman" w:cs="Times New Roman"/>
          <w:i/>
          <w:sz w:val="24"/>
          <w:szCs w:val="24"/>
        </w:rPr>
        <w:t xml:space="preserve">genderfluid, </w:t>
      </w:r>
      <w:r>
        <w:rPr>
          <w:rFonts w:ascii="Times New Roman" w:eastAsia="Times New Roman" w:hAnsi="Times New Roman" w:cs="Times New Roman"/>
          <w:sz w:val="24"/>
          <w:szCs w:val="24"/>
        </w:rPr>
        <w:t xml:space="preserve">or more uniquely culturally situated identities like </w:t>
      </w:r>
      <w:r>
        <w:rPr>
          <w:rFonts w:ascii="Times New Roman" w:eastAsia="Times New Roman" w:hAnsi="Times New Roman" w:cs="Times New Roman"/>
          <w:i/>
          <w:sz w:val="24"/>
          <w:szCs w:val="24"/>
        </w:rPr>
        <w:t>two-spirit</w:t>
      </w:r>
      <w:r>
        <w:rPr>
          <w:rFonts w:ascii="Times New Roman" w:eastAsia="Times New Roman" w:hAnsi="Times New Roman" w:cs="Times New Roman"/>
          <w:sz w:val="24"/>
          <w:szCs w:val="24"/>
        </w:rPr>
        <w:t>. The author critiques the creation of new identities like nonbinary before admitting that it may be necessary to “generate new identities, given that nonbinary is not a true social category but rather a vast umbrella with no positive social content,” (Amin 117)</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with no hint as to how this generation would differ from the coinage that he sees as idealizing normative identities or harming so-called ‘ordinary gender-variant people.’ </w:t>
      </w:r>
    </w:p>
    <w:p w14:paraId="0000000A"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 I can perhaps understand the notion that </w:t>
      </w:r>
      <w:r>
        <w:rPr>
          <w:rFonts w:ascii="Times New Roman" w:eastAsia="Times New Roman" w:hAnsi="Times New Roman" w:cs="Times New Roman"/>
          <w:sz w:val="24"/>
          <w:szCs w:val="24"/>
          <w:highlight w:val="white"/>
        </w:rPr>
        <w:t xml:space="preserve">taking on a nonbinary label exists within a language paradigm that reinforces a queer-versus-the-rest divide, although I question if responsibility for that divide and any harm it generates lies with those who embrace nonbinary or </w:t>
      </w:r>
      <w:r>
        <w:rPr>
          <w:rFonts w:ascii="Times New Roman" w:eastAsia="Times New Roman" w:hAnsi="Times New Roman" w:cs="Times New Roman"/>
          <w:sz w:val="24"/>
          <w:szCs w:val="24"/>
          <w:highlight w:val="white"/>
        </w:rPr>
        <w:lastRenderedPageBreak/>
        <w:t>if by naming ‘the imaginary cisgender other’ that we create an otherness that didn’t already exist. The (hetero)</w:t>
      </w:r>
      <w:proofErr w:type="spellStart"/>
      <w:r>
        <w:rPr>
          <w:rFonts w:ascii="Times New Roman" w:eastAsia="Times New Roman" w:hAnsi="Times New Roman" w:cs="Times New Roman"/>
          <w:sz w:val="24"/>
          <w:szCs w:val="24"/>
          <w:highlight w:val="white"/>
        </w:rPr>
        <w:t>normatives</w:t>
      </w:r>
      <w:proofErr w:type="spellEnd"/>
      <w:r>
        <w:rPr>
          <w:rFonts w:ascii="Times New Roman" w:eastAsia="Times New Roman" w:hAnsi="Times New Roman" w:cs="Times New Roman"/>
          <w:sz w:val="24"/>
          <w:szCs w:val="24"/>
          <w:highlight w:val="white"/>
        </w:rPr>
        <w:t xml:space="preserve"> of the world have, after all, never hesitated to label gender-divergent people when it suited them in the purpose of othering us, and while we as scholars may find the term </w:t>
      </w:r>
      <w:r>
        <w:rPr>
          <w:rFonts w:ascii="Times New Roman" w:eastAsia="Times New Roman" w:hAnsi="Times New Roman" w:cs="Times New Roman"/>
          <w:i/>
          <w:sz w:val="24"/>
          <w:szCs w:val="24"/>
          <w:highlight w:val="white"/>
        </w:rPr>
        <w:t xml:space="preserve">cisgender </w:t>
      </w:r>
      <w:r>
        <w:rPr>
          <w:rFonts w:ascii="Times New Roman" w:eastAsia="Times New Roman" w:hAnsi="Times New Roman" w:cs="Times New Roman"/>
          <w:sz w:val="24"/>
          <w:szCs w:val="24"/>
          <w:highlight w:val="white"/>
        </w:rPr>
        <w:t xml:space="preserve">not particularly generative in the context of illustrating the reality of the human experiences of gender and sex, we cannot ignore the fact that there are those want to be differentiated from anything queer, and among many gender-variant people who use the term </w:t>
      </w:r>
      <w:r>
        <w:rPr>
          <w:rFonts w:ascii="Times New Roman" w:eastAsia="Times New Roman" w:hAnsi="Times New Roman" w:cs="Times New Roman"/>
          <w:i/>
          <w:sz w:val="24"/>
          <w:szCs w:val="24"/>
          <w:highlight w:val="white"/>
        </w:rPr>
        <w:t>nonbinary</w:t>
      </w:r>
      <w:r>
        <w:rPr>
          <w:rFonts w:ascii="Times New Roman" w:eastAsia="Times New Roman" w:hAnsi="Times New Roman" w:cs="Times New Roman"/>
          <w:sz w:val="24"/>
          <w:szCs w:val="24"/>
          <w:highlight w:val="white"/>
        </w:rPr>
        <w:t xml:space="preserve">, those who want to be differentiated from anything </w:t>
      </w:r>
      <w:r>
        <w:rPr>
          <w:rFonts w:ascii="Times New Roman" w:eastAsia="Times New Roman" w:hAnsi="Times New Roman" w:cs="Times New Roman"/>
          <w:i/>
          <w:sz w:val="24"/>
          <w:szCs w:val="24"/>
          <w:highlight w:val="white"/>
        </w:rPr>
        <w:t>cis</w:t>
      </w:r>
      <w:r>
        <w:rPr>
          <w:rFonts w:ascii="Times New Roman" w:eastAsia="Times New Roman" w:hAnsi="Times New Roman" w:cs="Times New Roman"/>
          <w:sz w:val="24"/>
          <w:szCs w:val="24"/>
          <w:highlight w:val="white"/>
        </w:rPr>
        <w:t xml:space="preserve">. Even if these </w:t>
      </w:r>
      <w:r>
        <w:rPr>
          <w:rFonts w:ascii="Times New Roman" w:eastAsia="Times New Roman" w:hAnsi="Times New Roman" w:cs="Times New Roman"/>
          <w:i/>
          <w:sz w:val="24"/>
          <w:szCs w:val="24"/>
          <w:highlight w:val="white"/>
        </w:rPr>
        <w:t>wants</w:t>
      </w:r>
      <w:r>
        <w:rPr>
          <w:rFonts w:ascii="Times New Roman" w:eastAsia="Times New Roman" w:hAnsi="Times New Roman" w:cs="Times New Roman"/>
          <w:sz w:val="24"/>
          <w:szCs w:val="24"/>
          <w:highlight w:val="white"/>
        </w:rPr>
        <w:t xml:space="preserve"> are perhaps rooted in fundamental misunderstandings of sex and gender, the terminology they reflect represents a rhetorical purpose in a </w:t>
      </w:r>
      <w:proofErr w:type="spellStart"/>
      <w:r>
        <w:rPr>
          <w:rFonts w:ascii="Times New Roman" w:eastAsia="Times New Roman" w:hAnsi="Times New Roman" w:cs="Times New Roman"/>
          <w:sz w:val="24"/>
          <w:szCs w:val="24"/>
          <w:highlight w:val="white"/>
        </w:rPr>
        <w:t>kairotic</w:t>
      </w:r>
      <w:proofErr w:type="spellEnd"/>
      <w:r>
        <w:rPr>
          <w:rFonts w:ascii="Times New Roman" w:eastAsia="Times New Roman" w:hAnsi="Times New Roman" w:cs="Times New Roman"/>
          <w:sz w:val="24"/>
          <w:szCs w:val="24"/>
          <w:highlight w:val="white"/>
        </w:rPr>
        <w:t xml:space="preserve"> context.  </w:t>
      </w:r>
    </w:p>
    <w:p w14:paraId="0000000C" w14:textId="45623F0B" w:rsidR="00B55937" w:rsidRPr="00F66AD8"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 also question Amin’s claims regarding the nonbinary subject and their journeys (or lack of) toward transition. How can the psychic work around gender be less meaningful than socialization and physical transition when so few of us can ever access gender-affirming healthcare, or openly transition in safety? What of disabled, neurodivergent queers like myself who, for medical reasons, will likely never be able to embrace many common aspects of transition, even if we’d like to? Through autoethnography and textual analysis, I seek to trouble the notion that many elect to use the nonbinary label purely as a signifier of psychic work without regard to or desire for a so-called ‘socially relevant’ transition. I raise other factors, particularly including socioeconomic factors related to the accessibility of medically transitioning, the relative safety of being visually trans in a person’s given context, and the existence of satisfactory medical interventions for physical transition that relegate many nonbinary-identified people to experience their identities in the realm of psychic work as </w:t>
      </w:r>
      <w:r>
        <w:rPr>
          <w:rFonts w:ascii="Times New Roman" w:eastAsia="Times New Roman" w:hAnsi="Times New Roman" w:cs="Times New Roman"/>
          <w:sz w:val="24"/>
          <w:szCs w:val="24"/>
          <w:highlight w:val="white"/>
        </w:rPr>
        <w:lastRenderedPageBreak/>
        <w:t xml:space="preserve">opposed to embracing the medical transition Amin suggests is common among “on ordinary gender-variant people,” (Amin 107). </w:t>
      </w:r>
      <w:r>
        <w:rPr>
          <w:rFonts w:ascii="Times New Roman" w:eastAsia="Times New Roman" w:hAnsi="Times New Roman" w:cs="Times New Roman"/>
          <w:sz w:val="24"/>
          <w:szCs w:val="24"/>
          <w:highlight w:val="white"/>
          <w:vertAlign w:val="superscript"/>
        </w:rPr>
        <w:footnoteReference w:id="12"/>
      </w:r>
    </w:p>
    <w:p w14:paraId="0000000D" w14:textId="77777777" w:rsidR="00B55937" w:rsidRDefault="00000000">
      <w:pPr>
        <w:spacing w:line="240" w:lineRule="auto"/>
        <w:ind w:firstLine="720"/>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I Am Not Ordinary: Who is Nonbinary? </w:t>
      </w:r>
    </w:p>
    <w:p w14:paraId="0000000E" w14:textId="77777777" w:rsidR="00B55937" w:rsidRDefault="00B55937">
      <w:pPr>
        <w:spacing w:line="240" w:lineRule="auto"/>
        <w:ind w:firstLine="720"/>
        <w:rPr>
          <w:rFonts w:ascii="Times New Roman" w:eastAsia="Times New Roman" w:hAnsi="Times New Roman" w:cs="Times New Roman"/>
          <w:sz w:val="24"/>
          <w:szCs w:val="24"/>
          <w:highlight w:val="white"/>
        </w:rPr>
      </w:pPr>
    </w:p>
    <w:p w14:paraId="0000000F"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Amin’s work includes a history of where nonbinary identity as we currently discuss it emerged, noting its similarities and dissimilarities to the identity of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While we don’t know precisely when nonbinary itself emerged as an identifier, we know that around 2008, </w:t>
      </w:r>
      <w:r>
        <w:rPr>
          <w:rFonts w:ascii="Times New Roman" w:eastAsia="Times New Roman" w:hAnsi="Times New Roman" w:cs="Times New Roman"/>
          <w:i/>
          <w:sz w:val="24"/>
          <w:szCs w:val="24"/>
          <w:highlight w:val="white"/>
        </w:rPr>
        <w:t xml:space="preserve">cis </w:t>
      </w:r>
      <w:r>
        <w:rPr>
          <w:rFonts w:ascii="Times New Roman" w:eastAsia="Times New Roman" w:hAnsi="Times New Roman" w:cs="Times New Roman"/>
          <w:sz w:val="24"/>
          <w:szCs w:val="24"/>
          <w:highlight w:val="white"/>
        </w:rPr>
        <w:t xml:space="preserve">emerged as the imagined opposite of </w:t>
      </w:r>
      <w:r>
        <w:rPr>
          <w:rFonts w:ascii="Times New Roman" w:eastAsia="Times New Roman" w:hAnsi="Times New Roman" w:cs="Times New Roman"/>
          <w:i/>
          <w:sz w:val="24"/>
          <w:szCs w:val="24"/>
          <w:highlight w:val="white"/>
        </w:rPr>
        <w:t>trans</w:t>
      </w:r>
      <w:r>
        <w:rPr>
          <w:rFonts w:ascii="Times New Roman" w:eastAsia="Times New Roman" w:hAnsi="Times New Roman" w:cs="Times New Roman"/>
          <w:sz w:val="24"/>
          <w:szCs w:val="24"/>
          <w:highlight w:val="white"/>
        </w:rPr>
        <w:t xml:space="preserve">, and that nonbinary as we know it today likely emerged out of this same </w:t>
      </w:r>
      <w:proofErr w:type="spellStart"/>
      <w:r>
        <w:rPr>
          <w:rFonts w:ascii="Times New Roman" w:eastAsia="Times New Roman" w:hAnsi="Times New Roman" w:cs="Times New Roman"/>
          <w:sz w:val="24"/>
          <w:szCs w:val="24"/>
          <w:highlight w:val="white"/>
        </w:rPr>
        <w:t>kairotic</w:t>
      </w:r>
      <w:proofErr w:type="spellEnd"/>
      <w:r>
        <w:rPr>
          <w:rFonts w:ascii="Times New Roman" w:eastAsia="Times New Roman" w:hAnsi="Times New Roman" w:cs="Times New Roman"/>
          <w:sz w:val="24"/>
          <w:szCs w:val="24"/>
          <w:highlight w:val="white"/>
        </w:rPr>
        <w:t xml:space="preserve"> context. Amin quotes a 2021 survey that 26 percent of LGBTQ youth in the US ages 13–24 now identify as nonbinary, a statistic which the author uses to support the claim that, in juxtaposition to the earlier term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“nonbinary [has] become a ubiquitous category that could seemingly apply to almost anyone,” (Amin 113).</w:t>
      </w:r>
      <w:r>
        <w:rPr>
          <w:rFonts w:ascii="Times New Roman" w:eastAsia="Times New Roman" w:hAnsi="Times New Roman" w:cs="Times New Roman"/>
          <w:i/>
          <w:sz w:val="24"/>
          <w:szCs w:val="24"/>
          <w:highlight w:val="white"/>
          <w:vertAlign w:val="superscript"/>
        </w:rPr>
        <w:footnoteReference w:id="13"/>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by Amin’s own history of the term, was an unfamiliar term unknown to many even within the queer community in the early 2000s, and an identity that according to Amin would almost certainly not be identified with by 26% of LGBTQ youth in the United States. </w:t>
      </w:r>
    </w:p>
    <w:p w14:paraId="00000010" w14:textId="198013DA" w:rsidR="00B55937" w:rsidRDefault="00000000" w:rsidP="00F66AD8">
      <w:pPr>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recall first hearing of the term </w:t>
      </w:r>
      <w:r>
        <w:rPr>
          <w:rFonts w:ascii="Times New Roman" w:eastAsia="Times New Roman" w:hAnsi="Times New Roman" w:cs="Times New Roman"/>
          <w:i/>
          <w:sz w:val="24"/>
          <w:szCs w:val="24"/>
        </w:rPr>
        <w:t xml:space="preserve">genderqueer </w:t>
      </w:r>
      <w:r>
        <w:rPr>
          <w:rFonts w:ascii="Times New Roman" w:eastAsia="Times New Roman" w:hAnsi="Times New Roman" w:cs="Times New Roman"/>
          <w:sz w:val="24"/>
          <w:szCs w:val="24"/>
        </w:rPr>
        <w:t xml:space="preserve">as a freshman in college in the early 2010s, reading a 2002 anthology called </w:t>
      </w:r>
      <w:r>
        <w:rPr>
          <w:rFonts w:ascii="Times New Roman" w:eastAsia="Times New Roman" w:hAnsi="Times New Roman" w:cs="Times New Roman"/>
          <w:i/>
          <w:sz w:val="24"/>
          <w:szCs w:val="24"/>
        </w:rPr>
        <w:t xml:space="preserve">Genderqueer: Voices from Beyond the Sexual Binary, </w:t>
      </w:r>
      <w:r>
        <w:rPr>
          <w:rFonts w:ascii="Times New Roman" w:eastAsia="Times New Roman" w:hAnsi="Times New Roman" w:cs="Times New Roman"/>
          <w:sz w:val="24"/>
          <w:szCs w:val="24"/>
        </w:rPr>
        <w:t>which contained essays dated as far back as 1995 (</w:t>
      </w:r>
      <w:proofErr w:type="spellStart"/>
      <w:r>
        <w:rPr>
          <w:rFonts w:ascii="Times New Roman" w:eastAsia="Times New Roman" w:hAnsi="Times New Roman" w:cs="Times New Roman"/>
          <w:sz w:val="24"/>
          <w:szCs w:val="24"/>
        </w:rPr>
        <w:t>Wilchins</w:t>
      </w:r>
      <w:proofErr w:type="spellEnd"/>
      <w:r>
        <w:rPr>
          <w:rFonts w:ascii="Times New Roman" w:eastAsia="Times New Roman" w:hAnsi="Times New Roman" w:cs="Times New Roman"/>
          <w:sz w:val="24"/>
          <w:szCs w:val="24"/>
        </w:rPr>
        <w:t xml:space="preserve"> et al.).</w:t>
      </w:r>
      <w:r w:rsidR="00F66AD8">
        <w:rPr>
          <w:rStyle w:val="FootnoteReference"/>
          <w:rFonts w:ascii="Times New Roman" w:eastAsia="Times New Roman" w:hAnsi="Times New Roman" w:cs="Times New Roman"/>
          <w:sz w:val="24"/>
          <w:szCs w:val="24"/>
        </w:rPr>
        <w:footnoteReference w:id="14"/>
      </w:r>
      <w:r>
        <w:rPr>
          <w:rFonts w:ascii="Times New Roman" w:eastAsia="Times New Roman" w:hAnsi="Times New Roman" w:cs="Times New Roman"/>
          <w:sz w:val="24"/>
          <w:szCs w:val="24"/>
        </w:rPr>
        <w:t xml:space="preserve">  Most of this anthology details the struggles and sorrows of gender-variant people living in a time that was, while as recent as my own lifetime, far preceding the era of comparatively relative acceptance we exist in today. There were moments in the pages that spoke to me, although most of the narratives included in the </w:t>
      </w:r>
      <w:r>
        <w:rPr>
          <w:rFonts w:ascii="Times New Roman" w:eastAsia="Times New Roman" w:hAnsi="Times New Roman" w:cs="Times New Roman"/>
          <w:sz w:val="24"/>
          <w:szCs w:val="24"/>
        </w:rPr>
        <w:lastRenderedPageBreak/>
        <w:t xml:space="preserve">collection were far separate from my life experiences. I was </w:t>
      </w:r>
      <w:r>
        <w:rPr>
          <w:rFonts w:ascii="Times New Roman" w:eastAsia="Times New Roman" w:hAnsi="Times New Roman" w:cs="Times New Roman"/>
          <w:sz w:val="24"/>
          <w:szCs w:val="24"/>
          <w:highlight w:val="white"/>
        </w:rPr>
        <w:t xml:space="preserve">at the time about eighteen, openly part of my high school’s Gay-Straight Alliance (which we had to rename “Alliance” in my sophomore year because the word ‘Gay’ was too scandalous for the local PTA), but deeply closeted at home. My mother thought until my mid-twenties that she was picking me up from the Photography Club those late Wednesday afternoons. Finances were tight, and although we lived in relative comfort for a single-parent family in southeast Michigan at the time, my beginning college was financially prohibitive enough that I felt guilty for taking the Women’s &amp; Gender Studies class I took that semester when I found out it would only count as an ‘elective,’ and not something more important.  </w:t>
      </w:r>
    </w:p>
    <w:p w14:paraId="00000011"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 had known I was </w:t>
      </w:r>
      <w:r>
        <w:rPr>
          <w:rFonts w:ascii="Times New Roman" w:eastAsia="Times New Roman" w:hAnsi="Times New Roman" w:cs="Times New Roman"/>
          <w:i/>
          <w:sz w:val="24"/>
          <w:szCs w:val="24"/>
          <w:highlight w:val="white"/>
        </w:rPr>
        <w:t>other</w:t>
      </w:r>
      <w:r>
        <w:rPr>
          <w:rFonts w:ascii="Times New Roman" w:eastAsia="Times New Roman" w:hAnsi="Times New Roman" w:cs="Times New Roman"/>
          <w:sz w:val="24"/>
          <w:szCs w:val="24"/>
          <w:highlight w:val="white"/>
        </w:rPr>
        <w:t xml:space="preserve"> in some way as early as the rumors spread throughout my middle school that I had kissed ‘another girl,’ and likely much earlier than that, although I did not yet have the language to describe this form of otherness. There was also always a question of exactly where one </w:t>
      </w:r>
      <w:r>
        <w:rPr>
          <w:rFonts w:ascii="Times New Roman" w:eastAsia="Times New Roman" w:hAnsi="Times New Roman" w:cs="Times New Roman"/>
          <w:i/>
          <w:sz w:val="24"/>
          <w:szCs w:val="24"/>
          <w:highlight w:val="white"/>
        </w:rPr>
        <w:t>otherness</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stopped</w:t>
      </w:r>
      <w:proofErr w:type="gramEnd"/>
      <w:r>
        <w:rPr>
          <w:rFonts w:ascii="Times New Roman" w:eastAsia="Times New Roman" w:hAnsi="Times New Roman" w:cs="Times New Roman"/>
          <w:sz w:val="24"/>
          <w:szCs w:val="24"/>
          <w:highlight w:val="white"/>
        </w:rPr>
        <w:t xml:space="preserve"> and another began. After all, I wasn’t just </w:t>
      </w:r>
      <w:r>
        <w:rPr>
          <w:rFonts w:ascii="Times New Roman" w:eastAsia="Times New Roman" w:hAnsi="Times New Roman" w:cs="Times New Roman"/>
          <w:i/>
          <w:sz w:val="24"/>
          <w:szCs w:val="24"/>
          <w:highlight w:val="white"/>
        </w:rPr>
        <w:t>gay</w:t>
      </w:r>
      <w:r>
        <w:rPr>
          <w:rFonts w:ascii="Times New Roman" w:eastAsia="Times New Roman" w:hAnsi="Times New Roman" w:cs="Times New Roman"/>
          <w:sz w:val="24"/>
          <w:szCs w:val="24"/>
          <w:highlight w:val="white"/>
        </w:rPr>
        <w:t xml:space="preserve">, I was also autistic, mentally ill, and impacted by trauma unrelated to my sexuality or gender identity. This meant that despite outwardly appearing “normative,” in most contexts, and carrying the privileges of experiencing life as what those around me perceived as a young white female college student in the United States, I was in fact still a garden of </w:t>
      </w:r>
      <w:r>
        <w:rPr>
          <w:rFonts w:ascii="Times New Roman" w:eastAsia="Times New Roman" w:hAnsi="Times New Roman" w:cs="Times New Roman"/>
          <w:i/>
          <w:sz w:val="24"/>
          <w:szCs w:val="24"/>
          <w:highlight w:val="white"/>
        </w:rPr>
        <w:t>others</w:t>
      </w:r>
      <w:r>
        <w:rPr>
          <w:rFonts w:ascii="Times New Roman" w:eastAsia="Times New Roman" w:hAnsi="Times New Roman" w:cs="Times New Roman"/>
          <w:sz w:val="24"/>
          <w:szCs w:val="24"/>
          <w:highlight w:val="white"/>
        </w:rPr>
        <w:t xml:space="preserve">. While many of these </w:t>
      </w:r>
      <w:r>
        <w:rPr>
          <w:rFonts w:ascii="Times New Roman" w:eastAsia="Times New Roman" w:hAnsi="Times New Roman" w:cs="Times New Roman"/>
          <w:i/>
          <w:sz w:val="24"/>
          <w:szCs w:val="24"/>
          <w:highlight w:val="white"/>
        </w:rPr>
        <w:t xml:space="preserve">others </w:t>
      </w:r>
      <w:r>
        <w:rPr>
          <w:rFonts w:ascii="Times New Roman" w:eastAsia="Times New Roman" w:hAnsi="Times New Roman" w:cs="Times New Roman"/>
          <w:sz w:val="24"/>
          <w:szCs w:val="24"/>
          <w:highlight w:val="white"/>
        </w:rPr>
        <w:t xml:space="preserve">were situationally and strategically hidden through masking and being in the closet, it is incorrect to say that they existed only as psychic realities that never percolated into my lived experience. Did, for example, the onset of menstruation make me suicidal at the age of eleven because it was sensory hell for an autistic tween to experience the physical discomfort and change associated with this change, or did it make me suicidal because it was a reminder of the expectations of the gender I was already failing to conform to? Was my failure to conform a </w:t>
      </w:r>
      <w:r>
        <w:rPr>
          <w:rFonts w:ascii="Times New Roman" w:eastAsia="Times New Roman" w:hAnsi="Times New Roman" w:cs="Times New Roman"/>
          <w:sz w:val="24"/>
          <w:szCs w:val="24"/>
          <w:highlight w:val="white"/>
        </w:rPr>
        <w:lastRenderedPageBreak/>
        <w:t xml:space="preserve">product of autism, or of my gender? I had dysmorphia, yes, but was this gender dysmorphia? Body dysmorphia connected with disordered </w:t>
      </w:r>
      <w:proofErr w:type="gramStart"/>
      <w:r>
        <w:rPr>
          <w:rFonts w:ascii="Times New Roman" w:eastAsia="Times New Roman" w:hAnsi="Times New Roman" w:cs="Times New Roman"/>
          <w:sz w:val="24"/>
          <w:szCs w:val="24"/>
          <w:highlight w:val="white"/>
        </w:rPr>
        <w:t>eating?</w:t>
      </w:r>
      <w:proofErr w:type="gramEnd"/>
      <w:r>
        <w:rPr>
          <w:rFonts w:ascii="Times New Roman" w:eastAsia="Times New Roman" w:hAnsi="Times New Roman" w:cs="Times New Roman"/>
          <w:sz w:val="24"/>
          <w:szCs w:val="24"/>
          <w:highlight w:val="white"/>
        </w:rPr>
        <w:t xml:space="preserve"> Both?  </w:t>
      </w:r>
    </w:p>
    <w:p w14:paraId="00000012" w14:textId="77777777" w:rsidR="00B55937" w:rsidRDefault="00000000" w:rsidP="00F66AD8">
      <w:pPr>
        <w:spacing w:line="480" w:lineRule="auto"/>
        <w:ind w:firstLine="720"/>
        <w:contextualSpacing/>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rPr>
        <w:t xml:space="preserve">Like most young people at the time, I took my questions to the internet: to LiveJournal, Tumblr, or other online </w:t>
      </w:r>
      <w:proofErr w:type="spellStart"/>
      <w:r>
        <w:rPr>
          <w:rFonts w:ascii="Times New Roman" w:eastAsia="Times New Roman" w:hAnsi="Times New Roman" w:cs="Times New Roman"/>
          <w:sz w:val="24"/>
          <w:szCs w:val="24"/>
        </w:rPr>
        <w:t>forms</w:t>
      </w:r>
      <w:proofErr w:type="spellEnd"/>
      <w:r>
        <w:rPr>
          <w:rFonts w:ascii="Times New Roman" w:eastAsia="Times New Roman" w:hAnsi="Times New Roman" w:cs="Times New Roman"/>
          <w:sz w:val="24"/>
          <w:szCs w:val="24"/>
        </w:rPr>
        <w:t xml:space="preserve"> where a few clicks could erase a browser history.</w:t>
      </w:r>
      <w:r>
        <w:rPr>
          <w:rFonts w:ascii="Times New Roman" w:eastAsia="Times New Roman" w:hAnsi="Times New Roman" w:cs="Times New Roman"/>
          <w:i/>
          <w:sz w:val="24"/>
          <w:szCs w:val="24"/>
        </w:rPr>
        <w:t xml:space="preserve"> Was I genderqueer…? </w:t>
      </w:r>
      <w:r>
        <w:rPr>
          <w:rFonts w:ascii="Times New Roman" w:eastAsia="Times New Roman" w:hAnsi="Times New Roman" w:cs="Times New Roman"/>
          <w:sz w:val="24"/>
          <w:szCs w:val="24"/>
        </w:rPr>
        <w:t>Well</w:t>
      </w:r>
      <w:r>
        <w:rPr>
          <w:rFonts w:ascii="Times New Roman" w:eastAsia="Times New Roman" w:hAnsi="Times New Roman" w:cs="Times New Roman"/>
          <w:sz w:val="24"/>
          <w:szCs w:val="24"/>
          <w:highlight w:val="white"/>
        </w:rPr>
        <w:t xml:space="preserve">, I wasn’t </w:t>
      </w:r>
      <w:r>
        <w:rPr>
          <w:rFonts w:ascii="Times New Roman" w:eastAsia="Times New Roman" w:hAnsi="Times New Roman" w:cs="Times New Roman"/>
          <w:i/>
          <w:sz w:val="24"/>
          <w:szCs w:val="24"/>
          <w:highlight w:val="white"/>
        </w:rPr>
        <w:t>not genderqueer</w:t>
      </w:r>
      <w:r>
        <w:rPr>
          <w:rFonts w:ascii="Times New Roman" w:eastAsia="Times New Roman" w:hAnsi="Times New Roman" w:cs="Times New Roman"/>
          <w:sz w:val="24"/>
          <w:szCs w:val="24"/>
          <w:highlight w:val="white"/>
        </w:rPr>
        <w:t xml:space="preserve">, but even if I had been, would I ever be like any of the people in my book? Could I bother my mother for a new wardrobe or a new name when we could barely afford to replace what we had?  </w:t>
      </w:r>
      <w:r>
        <w:rPr>
          <w:rFonts w:ascii="Times New Roman" w:eastAsia="Times New Roman" w:hAnsi="Times New Roman" w:cs="Times New Roman"/>
          <w:i/>
          <w:sz w:val="24"/>
          <w:szCs w:val="24"/>
          <w:highlight w:val="white"/>
        </w:rPr>
        <w:t xml:space="preserve">  </w:t>
      </w:r>
    </w:p>
    <w:p w14:paraId="00000013" w14:textId="77777777" w:rsidR="00B55937" w:rsidRDefault="00B55937" w:rsidP="00F66AD8">
      <w:pPr>
        <w:spacing w:line="480" w:lineRule="auto"/>
        <w:ind w:firstLine="720"/>
        <w:contextualSpacing/>
        <w:rPr>
          <w:rFonts w:ascii="Times New Roman" w:eastAsia="Times New Roman" w:hAnsi="Times New Roman" w:cs="Times New Roman"/>
          <w:i/>
          <w:sz w:val="24"/>
          <w:szCs w:val="24"/>
          <w:highlight w:val="white"/>
        </w:rPr>
      </w:pPr>
    </w:p>
    <w:p w14:paraId="00000014" w14:textId="77777777" w:rsidR="00B55937" w:rsidRDefault="00000000" w:rsidP="00F66AD8">
      <w:pPr>
        <w:spacing w:line="480" w:lineRule="auto"/>
        <w:ind w:firstLine="720"/>
        <w:contextualSpacing/>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Language and Technology from Genderqueer to Nonbinary to </w:t>
      </w:r>
      <w:proofErr w:type="spellStart"/>
      <w:r>
        <w:rPr>
          <w:rFonts w:ascii="Times New Roman" w:eastAsia="Times New Roman" w:hAnsi="Times New Roman" w:cs="Times New Roman"/>
          <w:i/>
          <w:sz w:val="24"/>
          <w:szCs w:val="24"/>
          <w:highlight w:val="white"/>
        </w:rPr>
        <w:t>Autigender</w:t>
      </w:r>
      <w:proofErr w:type="spellEnd"/>
      <w:r>
        <w:rPr>
          <w:rFonts w:ascii="Times New Roman" w:eastAsia="Times New Roman" w:hAnsi="Times New Roman" w:cs="Times New Roman"/>
          <w:i/>
          <w:sz w:val="24"/>
          <w:szCs w:val="24"/>
          <w:highlight w:val="white"/>
        </w:rPr>
        <w:t xml:space="preserve">  </w:t>
      </w:r>
    </w:p>
    <w:p w14:paraId="00000015" w14:textId="77777777" w:rsidR="00B55937" w:rsidRDefault="00B55937" w:rsidP="00F66AD8">
      <w:pPr>
        <w:spacing w:line="480" w:lineRule="auto"/>
        <w:ind w:firstLine="720"/>
        <w:contextualSpacing/>
        <w:rPr>
          <w:rFonts w:ascii="Times New Roman" w:eastAsia="Times New Roman" w:hAnsi="Times New Roman" w:cs="Times New Roman"/>
          <w:sz w:val="24"/>
          <w:szCs w:val="24"/>
          <w:highlight w:val="white"/>
        </w:rPr>
      </w:pPr>
    </w:p>
    <w:p w14:paraId="00000016"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must recall that the landscape of social media and young people’s learning about gender and sexuality was much different in the early 2000s when the term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was in its heyday. At the time the first edition of</w:t>
      </w:r>
      <w:r>
        <w:rPr>
          <w:rFonts w:ascii="Times New Roman" w:eastAsia="Times New Roman" w:hAnsi="Times New Roman" w:cs="Times New Roman"/>
          <w:i/>
          <w:sz w:val="24"/>
          <w:szCs w:val="24"/>
          <w:highlight w:val="white"/>
        </w:rPr>
        <w:t xml:space="preserve"> Genderqueer: Voices from Beyond the Sexual Binary</w:t>
      </w:r>
      <w:r>
        <w:rPr>
          <w:rFonts w:ascii="Times New Roman" w:eastAsia="Times New Roman" w:hAnsi="Times New Roman" w:cs="Times New Roman"/>
          <w:sz w:val="24"/>
          <w:szCs w:val="24"/>
          <w:highlight w:val="white"/>
        </w:rPr>
        <w:t xml:space="preserve"> was compiled and published in 2002, Myspace had not yet </w:t>
      </w:r>
      <w:proofErr w:type="gramStart"/>
      <w:r>
        <w:rPr>
          <w:rFonts w:ascii="Times New Roman" w:eastAsia="Times New Roman" w:hAnsi="Times New Roman" w:cs="Times New Roman"/>
          <w:sz w:val="24"/>
          <w:szCs w:val="24"/>
          <w:highlight w:val="white"/>
        </w:rPr>
        <w:t>launched</w:t>
      </w:r>
      <w:proofErr w:type="gramEnd"/>
      <w:r>
        <w:rPr>
          <w:rFonts w:ascii="Times New Roman" w:eastAsia="Times New Roman" w:hAnsi="Times New Roman" w:cs="Times New Roman"/>
          <w:sz w:val="24"/>
          <w:szCs w:val="24"/>
          <w:highlight w:val="white"/>
        </w:rPr>
        <w:t xml:space="preserve"> and we had to get off the computer whenever we needed to make a phone call. While online chat spaces certainly existed, these digital experiences were a far cry from the social media platforms we’ve seen grow in the decades since. If we are to accept that Amin’s discourse around nonbinary as it exists today as a trend that occurred since the 2008 emergence of </w:t>
      </w:r>
      <w:r>
        <w:rPr>
          <w:rFonts w:ascii="Times New Roman" w:eastAsia="Times New Roman" w:hAnsi="Times New Roman" w:cs="Times New Roman"/>
          <w:i/>
          <w:sz w:val="24"/>
          <w:szCs w:val="24"/>
          <w:highlight w:val="white"/>
        </w:rPr>
        <w:t>cis</w:t>
      </w:r>
      <w:r>
        <w:rPr>
          <w:rFonts w:ascii="Times New Roman" w:eastAsia="Times New Roman" w:hAnsi="Times New Roman" w:cs="Times New Roman"/>
          <w:sz w:val="24"/>
          <w:szCs w:val="24"/>
          <w:highlight w:val="white"/>
        </w:rPr>
        <w:t xml:space="preserve">, then we are to understand that those same individuals who were reflected in the 2021 Trevor Project Survey of whom approximately 26% identified as nonbinary were born between 1997 and 2007. Many of these young people do not remember a world before </w:t>
      </w:r>
      <w:r>
        <w:rPr>
          <w:rFonts w:ascii="Times New Roman" w:eastAsia="Times New Roman" w:hAnsi="Times New Roman" w:cs="Times New Roman"/>
          <w:i/>
          <w:sz w:val="24"/>
          <w:szCs w:val="24"/>
          <w:highlight w:val="white"/>
        </w:rPr>
        <w:t xml:space="preserve">cis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i/>
          <w:sz w:val="24"/>
          <w:szCs w:val="24"/>
          <w:highlight w:val="white"/>
        </w:rPr>
        <w:t>nonbinary</w:t>
      </w:r>
      <w:r>
        <w:rPr>
          <w:rFonts w:ascii="Times New Roman" w:eastAsia="Times New Roman" w:hAnsi="Times New Roman" w:cs="Times New Roman"/>
          <w:sz w:val="24"/>
          <w:szCs w:val="24"/>
          <w:highlight w:val="white"/>
        </w:rPr>
        <w:t xml:space="preserve">.   </w:t>
      </w:r>
    </w:p>
    <w:p w14:paraId="0000001A" w14:textId="6F2796FE"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Today’s LGBTQ youth experience not only far more mainstream presence of a variety of identities in media, but with social platforms like Tumblr and TikTok, are engaged in </w:t>
      </w:r>
      <w:r>
        <w:rPr>
          <w:rFonts w:ascii="Times New Roman" w:eastAsia="Times New Roman" w:hAnsi="Times New Roman" w:cs="Times New Roman"/>
          <w:sz w:val="24"/>
          <w:szCs w:val="24"/>
          <w:highlight w:val="white"/>
        </w:rPr>
        <w:lastRenderedPageBreak/>
        <w:t>conversations around gender identity and transition in ways that no one could’ve imagined in the early 2000s. Although these digital spaces are not without flaw, as evidenced by Byron et al</w:t>
      </w:r>
      <w:r w:rsidR="00B175E2">
        <w:rPr>
          <w:rFonts w:ascii="Times New Roman" w:eastAsia="Times New Roman" w:hAnsi="Times New Roman" w:cs="Times New Roman"/>
          <w:sz w:val="24"/>
          <w:szCs w:val="24"/>
          <w:highlight w:val="white"/>
        </w:rPr>
        <w:t xml:space="preserve"> </w:t>
      </w:r>
      <w:r w:rsidR="00B175E2">
        <w:rPr>
          <w:rStyle w:val="FootnoteReference"/>
          <w:rFonts w:ascii="Times New Roman" w:eastAsia="Times New Roman" w:hAnsi="Times New Roman" w:cs="Times New Roman"/>
          <w:sz w:val="24"/>
          <w:szCs w:val="24"/>
          <w:highlight w:val="white"/>
        </w:rPr>
        <w:footnoteReference w:id="15"/>
      </w:r>
      <w:r>
        <w:rPr>
          <w:rFonts w:ascii="Times New Roman" w:eastAsia="Times New Roman" w:hAnsi="Times New Roman" w:cs="Times New Roman"/>
          <w:sz w:val="24"/>
          <w:szCs w:val="24"/>
          <w:highlight w:val="white"/>
        </w:rPr>
        <w:t>,</w:t>
      </w:r>
      <w:r w:rsidR="00B175E2">
        <w:rPr>
          <w:rFonts w:ascii="Times New Roman" w:eastAsia="Times New Roman" w:hAnsi="Times New Roman" w:cs="Times New Roman"/>
          <w:sz w:val="24"/>
          <w:szCs w:val="24"/>
          <w:highlight w:val="white"/>
        </w:rPr>
        <w:t xml:space="preserve"> they are none the less occurring. </w:t>
      </w:r>
      <w:r>
        <w:rPr>
          <w:rFonts w:ascii="Times New Roman" w:eastAsia="Times New Roman" w:hAnsi="Times New Roman" w:cs="Times New Roman"/>
          <w:sz w:val="24"/>
          <w:szCs w:val="24"/>
          <w:highlight w:val="white"/>
        </w:rPr>
        <w:t xml:space="preserve">Indeed,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may have been unfamiliar and uncommon identifier in the early 2000s based on our understandings of who used this term and in what context it was used, but we cannot mistake the </w:t>
      </w:r>
      <w:proofErr w:type="spellStart"/>
      <w:r>
        <w:rPr>
          <w:rFonts w:ascii="Times New Roman" w:eastAsia="Times New Roman" w:hAnsi="Times New Roman" w:cs="Times New Roman"/>
          <w:sz w:val="24"/>
          <w:szCs w:val="24"/>
          <w:highlight w:val="white"/>
        </w:rPr>
        <w:t>kairotic</w:t>
      </w:r>
      <w:proofErr w:type="spellEnd"/>
      <w:r>
        <w:rPr>
          <w:rFonts w:ascii="Times New Roman" w:eastAsia="Times New Roman" w:hAnsi="Times New Roman" w:cs="Times New Roman"/>
          <w:sz w:val="24"/>
          <w:szCs w:val="24"/>
          <w:highlight w:val="white"/>
        </w:rPr>
        <w:t xml:space="preserve"> differences between</w:t>
      </w:r>
      <w:r>
        <w:rPr>
          <w:rFonts w:ascii="Times New Roman" w:eastAsia="Times New Roman" w:hAnsi="Times New Roman" w:cs="Times New Roman"/>
          <w:i/>
          <w:sz w:val="24"/>
          <w:szCs w:val="24"/>
          <w:highlight w:val="white"/>
        </w:rPr>
        <w:t xml:space="preserve"> genderqueer </w:t>
      </w:r>
      <w:r>
        <w:rPr>
          <w:rFonts w:ascii="Times New Roman" w:eastAsia="Times New Roman" w:hAnsi="Times New Roman" w:cs="Times New Roman"/>
          <w:sz w:val="24"/>
          <w:szCs w:val="24"/>
          <w:highlight w:val="white"/>
        </w:rPr>
        <w:t>and</w:t>
      </w:r>
      <w:r>
        <w:rPr>
          <w:rFonts w:ascii="Times New Roman" w:eastAsia="Times New Roman" w:hAnsi="Times New Roman" w:cs="Times New Roman"/>
          <w:i/>
          <w:sz w:val="24"/>
          <w:szCs w:val="24"/>
          <w:highlight w:val="white"/>
        </w:rPr>
        <w:t xml:space="preserve"> nonbinary </w:t>
      </w:r>
      <w:r>
        <w:rPr>
          <w:rFonts w:ascii="Times New Roman" w:eastAsia="Times New Roman" w:hAnsi="Times New Roman" w:cs="Times New Roman"/>
          <w:sz w:val="24"/>
          <w:szCs w:val="24"/>
          <w:highlight w:val="white"/>
        </w:rPr>
        <w:t xml:space="preserve">for an indication that nonbinary identity applies to a broader “anyone” than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may have were it as common as it is today for the average young person to have at least some form of queer learning.</w:t>
      </w:r>
    </w:p>
    <w:p w14:paraId="0000001B"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 believe I became acquainted with the term </w:t>
      </w:r>
      <w:r>
        <w:rPr>
          <w:rFonts w:ascii="Times New Roman" w:eastAsia="Times New Roman" w:hAnsi="Times New Roman" w:cs="Times New Roman"/>
          <w:i/>
          <w:sz w:val="24"/>
          <w:szCs w:val="24"/>
          <w:highlight w:val="white"/>
        </w:rPr>
        <w:t>nonbinary</w:t>
      </w:r>
      <w:r>
        <w:rPr>
          <w:rFonts w:ascii="Times New Roman" w:eastAsia="Times New Roman" w:hAnsi="Times New Roman" w:cs="Times New Roman"/>
          <w:sz w:val="24"/>
          <w:szCs w:val="24"/>
          <w:highlight w:val="white"/>
        </w:rPr>
        <w:t xml:space="preserve"> in 2010, as a direct consequence of searching words I’d read in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into Tumblr. Straight away I went down the rabbit hole. I began to research the reality of transition, from binding and techniques to deepen the voice, to hormone replacement, surgeries to reshape the chest, even phalloplasty. There were some interventions I considered, even longed for, but others sounded unappealing. Phalloplasty, for example, would likely involve disfiguring one of my inner arms to graft skin for a neophallus, an organ which would be in certain practical ways functional, but would likely never be mistaken for a cisgender man’s penis, if that was important. </w:t>
      </w:r>
    </w:p>
    <w:p w14:paraId="0000001C"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There was also the prospect that I could get top surgery, but this welcome idea quickly soured when I found images of an unhappy patient whose nipples had turned black and fallen off, the tissue having died during its transfer. A certain disappointment rose in me, realizing what my options were. There was no magical option where I could undo the version of puberty I had gone through and somehow re-exit the womb as either a cisman or somehow, even better, a truly </w:t>
      </w:r>
      <w:r>
        <w:rPr>
          <w:rFonts w:ascii="Times New Roman" w:eastAsia="Times New Roman" w:hAnsi="Times New Roman" w:cs="Times New Roman"/>
          <w:sz w:val="24"/>
          <w:szCs w:val="24"/>
          <w:highlight w:val="white"/>
        </w:rPr>
        <w:lastRenderedPageBreak/>
        <w:t xml:space="preserve">genderless human. I could, through overwhelmingly expensive, painful procedures (which I would never be able to afford and would never be covered by any health insurance I’d imagined ever having), receive results where if I was extremely </w:t>
      </w:r>
      <w:proofErr w:type="gramStart"/>
      <w:r>
        <w:rPr>
          <w:rFonts w:ascii="Times New Roman" w:eastAsia="Times New Roman" w:hAnsi="Times New Roman" w:cs="Times New Roman"/>
          <w:sz w:val="24"/>
          <w:szCs w:val="24"/>
          <w:highlight w:val="white"/>
        </w:rPr>
        <w:t>lucky</w:t>
      </w:r>
      <w:proofErr w:type="gramEnd"/>
      <w:r>
        <w:rPr>
          <w:rFonts w:ascii="Times New Roman" w:eastAsia="Times New Roman" w:hAnsi="Times New Roman" w:cs="Times New Roman"/>
          <w:sz w:val="24"/>
          <w:szCs w:val="24"/>
          <w:highlight w:val="white"/>
        </w:rPr>
        <w:t xml:space="preserve"> I might pass for more masculine -- but was masculine even the goal? </w:t>
      </w:r>
    </w:p>
    <w:p w14:paraId="0000001D"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I knew I wasn’t a man. I didn’t identify with masculinity. I also didn’t identify with femininity, either. I wasn’t a woman. I was not trapped in the wrong body in the sense that there would ever be ‘a right body’ out there, something that I could perhaps lessen my dysmorphia by attaching to an idea of. But was this a matter of gender alone, or was this dysmorphia tied up in experiences of autism and the eating disorder I had struggled with for half of my life at the time? Was there a meaningful way to separate any of it?</w:t>
      </w:r>
    </w:p>
    <w:p w14:paraId="0000001E" w14:textId="77777777" w:rsidR="00B55937" w:rsidRDefault="00000000" w:rsidP="00F66AD8">
      <w:pPr>
        <w:widowControl w:val="0"/>
        <w:shd w:val="clear" w:color="auto" w:fill="FFFFFF"/>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Butler states that because gender is impossible to remove from political and social constructs because it is not defined “coherently or consistently” in </w:t>
      </w:r>
      <w:proofErr w:type="spellStart"/>
      <w:r>
        <w:rPr>
          <w:rFonts w:ascii="Times New Roman" w:eastAsia="Times New Roman" w:hAnsi="Times New Roman" w:cs="Times New Roman"/>
          <w:sz w:val="24"/>
          <w:szCs w:val="24"/>
        </w:rPr>
        <w:t>kairotic</w:t>
      </w:r>
      <w:proofErr w:type="spellEnd"/>
      <w:r>
        <w:rPr>
          <w:rFonts w:ascii="Times New Roman" w:eastAsia="Times New Roman" w:hAnsi="Times New Roman" w:cs="Times New Roman"/>
          <w:sz w:val="24"/>
          <w:szCs w:val="24"/>
        </w:rPr>
        <w:t xml:space="preserve"> context and due to the intersectionality of gender with race, socio-economic status, ethnicity, sexual, and other identities (Butler 6). </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She earlier states that no woman is ever just a woman. As an example, a person like myself who is a white nonbinary person is in some ways a subject of feminism, although I am not a woman by my own identifiers. However, no matter how I identify, most people do recognize me in the world as ‘a woman.’ I also benefit from certain privileges associated with my race that, while are inherently separate from my gender identity, intersect in meaningful ways that cannot be unmingled. My experiences are never just a “woman” experience or a “white” experience or even a “queer” experience, they are always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above. The same is true for me, and all of us, in any sphere of transition or potential transition.   </w:t>
      </w:r>
      <w:r>
        <w:rPr>
          <w:rFonts w:ascii="Times New Roman" w:eastAsia="Times New Roman" w:hAnsi="Times New Roman" w:cs="Times New Roman"/>
          <w:sz w:val="24"/>
          <w:szCs w:val="24"/>
          <w:highlight w:val="white"/>
        </w:rPr>
        <w:t xml:space="preserve">    </w:t>
      </w:r>
    </w:p>
    <w:p w14:paraId="0000001F" w14:textId="77777777" w:rsidR="00B55937" w:rsidRDefault="00000000" w:rsidP="00F66AD8">
      <w:pPr>
        <w:widowControl w:val="0"/>
        <w:shd w:val="clear" w:color="auto" w:fill="FFFFFF"/>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The nature of my existence is one of embodied discomfort temporarily ameliorated by a variety of sensory quick fixes. I am, again, unable to discern where one other </w:t>
      </w:r>
      <w:proofErr w:type="gramStart"/>
      <w:r>
        <w:rPr>
          <w:rFonts w:ascii="Times New Roman" w:eastAsia="Times New Roman" w:hAnsi="Times New Roman" w:cs="Times New Roman"/>
          <w:color w:val="000000"/>
          <w:sz w:val="24"/>
          <w:szCs w:val="24"/>
        </w:rPr>
        <w:t>ends</w:t>
      </w:r>
      <w:proofErr w:type="gramEnd"/>
      <w:r>
        <w:rPr>
          <w:rFonts w:ascii="Times New Roman" w:eastAsia="Times New Roman" w:hAnsi="Times New Roman" w:cs="Times New Roman"/>
          <w:color w:val="000000"/>
          <w:sz w:val="24"/>
          <w:szCs w:val="24"/>
        </w:rPr>
        <w:t xml:space="preserve"> and another begins, whether these discomforts are a product of autism or another idiosyncrasy or a product of the nonbinary experience, but I can tell you that these discomforts do blend into my gender performance as a result of their impact on my embodied experiences. I am told that much of the sensory discomforts are a product of autism. There are other AFAB enbies in the world who can bind their chests and wear pantsuits, creating a ‘look’ that embraces an androgynous performance. Though I am skeptical of the claim that any nonbinary person of any sex assigned at birth owes anyone else a performance of androgyny, I cannot participate in this performance in most of the meaningful, common ways, even if I would like to. My existence is perhaps a bit more carefully curated than many.   </w:t>
      </w:r>
    </w:p>
    <w:p w14:paraId="00000020" w14:textId="77777777" w:rsidR="00B55937" w:rsidRDefault="00000000" w:rsidP="00F66AD8">
      <w:pPr>
        <w:pBdr>
          <w:top w:val="nil"/>
          <w:left w:val="nil"/>
          <w:bottom w:val="nil"/>
          <w:right w:val="nil"/>
          <w:between w:val="nil"/>
        </w:pBdr>
        <w:spacing w:line="480" w:lineRule="auto"/>
        <w:ind w:firstLine="720"/>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 wardrobe consists primarily of loose-fitting dresses and leggings selected for the sensory appeal of their materials and making: </w:t>
      </w:r>
      <w:proofErr w:type="spellStart"/>
      <w:r>
        <w:rPr>
          <w:rFonts w:ascii="Times New Roman" w:eastAsia="Times New Roman" w:hAnsi="Times New Roman" w:cs="Times New Roman"/>
          <w:color w:val="000000"/>
          <w:sz w:val="24"/>
          <w:szCs w:val="24"/>
        </w:rPr>
        <w:t>tagless</w:t>
      </w:r>
      <w:proofErr w:type="spellEnd"/>
      <w:r>
        <w:rPr>
          <w:rFonts w:ascii="Times New Roman" w:eastAsia="Times New Roman" w:hAnsi="Times New Roman" w:cs="Times New Roman"/>
          <w:color w:val="000000"/>
          <w:sz w:val="24"/>
          <w:szCs w:val="24"/>
        </w:rPr>
        <w:t xml:space="preserve"> or with each tag carefully cropped, without particularly obtrusive seams, typically synthetic fibers. I wear the same pair of crocs sandals in six different colors for approximately ten months of the year. They aren’t ideal, but they can be mistaken for professional--fashionable, even--within my spaces of the academy, and being that they are backless and loose-fitting, don’t cause sensory overload. Then there are the sunglasses, usually perched atop my head when not in use, and the noise-canceling headphones. These are to reduce overstimulation. Do I like these items? Not particularly. Do they represent an idea of gender that I hope to convey? Certainly not. They are comforting. The performance of this attire is about making it through public spaces while being able to mask in a way that is most comfortable for myself and for the neurotypicals around me, things I must do in conjunction with a carefully curated regime of prescription medications, narrow social interaction windows, and </w:t>
      </w:r>
      <w:r>
        <w:rPr>
          <w:rFonts w:ascii="Times New Roman" w:eastAsia="Times New Roman" w:hAnsi="Times New Roman" w:cs="Times New Roman"/>
          <w:color w:val="000000"/>
          <w:sz w:val="24"/>
          <w:szCs w:val="24"/>
        </w:rPr>
        <w:lastRenderedPageBreak/>
        <w:t xml:space="preserve">scheduled time for stims and isolated recovery </w:t>
      </w:r>
      <w:proofErr w:type="gramStart"/>
      <w:r>
        <w:rPr>
          <w:rFonts w:ascii="Times New Roman" w:eastAsia="Times New Roman" w:hAnsi="Times New Roman" w:cs="Times New Roman"/>
          <w:color w:val="000000"/>
          <w:sz w:val="24"/>
          <w:szCs w:val="24"/>
        </w:rPr>
        <w:t>in order to</w:t>
      </w:r>
      <w:proofErr w:type="gramEnd"/>
      <w:r>
        <w:rPr>
          <w:rFonts w:ascii="Times New Roman" w:eastAsia="Times New Roman" w:hAnsi="Times New Roman" w:cs="Times New Roman"/>
          <w:color w:val="000000"/>
          <w:sz w:val="24"/>
          <w:szCs w:val="24"/>
        </w:rPr>
        <w:t xml:space="preserve"> behave in the least autistic way possible whenever I engage in social interactions. </w:t>
      </w:r>
    </w:p>
    <w:p w14:paraId="00000021" w14:textId="77777777" w:rsidR="00B55937" w:rsidRDefault="00000000" w:rsidP="00F66AD8">
      <w:pPr>
        <w:pBdr>
          <w:top w:val="nil"/>
          <w:left w:val="nil"/>
          <w:bottom w:val="nil"/>
          <w:right w:val="nil"/>
          <w:between w:val="nil"/>
        </w:pBdr>
        <w:spacing w:line="480" w:lineRule="auto"/>
        <w:ind w:firstLine="720"/>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am not alone in this. A 2019 study from Stagg and Vincent in European Psychiatry reportedly identified a proportionately higher trait of autistic traits in transgender and nonbinary people</w:t>
      </w:r>
      <w:r>
        <w:rPr>
          <w:rFonts w:ascii="Times New Roman" w:eastAsia="Times New Roman" w:hAnsi="Times New Roman" w:cs="Times New Roman"/>
          <w:color w:val="000000"/>
          <w:sz w:val="24"/>
          <w:szCs w:val="24"/>
          <w:vertAlign w:val="superscript"/>
        </w:rPr>
        <w:footnoteReference w:id="17"/>
      </w:r>
      <w:r>
        <w:rPr>
          <w:rFonts w:ascii="Times New Roman" w:eastAsia="Times New Roman" w:hAnsi="Times New Roman" w:cs="Times New Roman"/>
          <w:color w:val="000000"/>
          <w:sz w:val="24"/>
          <w:szCs w:val="24"/>
        </w:rPr>
        <w:t>. These results echo an earlier study (2014) which suggest that gender variance is elevated among both autistic people and persons with ADHD, suggesting a broader intersection between neurodivergence and nonbinary identity</w:t>
      </w:r>
      <w:r>
        <w:rPr>
          <w:rFonts w:ascii="Times New Roman" w:eastAsia="Times New Roman" w:hAnsi="Times New Roman" w:cs="Times New Roman"/>
          <w:color w:val="000000"/>
          <w:sz w:val="24"/>
          <w:szCs w:val="24"/>
          <w:vertAlign w:val="superscript"/>
        </w:rPr>
        <w:footnoteReference w:id="18"/>
      </w:r>
      <w:r>
        <w:rPr>
          <w:rFonts w:ascii="Times New Roman" w:eastAsia="Times New Roman" w:hAnsi="Times New Roman" w:cs="Times New Roman"/>
          <w:color w:val="000000"/>
          <w:sz w:val="24"/>
          <w:szCs w:val="24"/>
        </w:rPr>
        <w:t xml:space="preserve">. The Stagg and Vincent study included the additional data that: </w:t>
      </w:r>
    </w:p>
    <w:p w14:paraId="00000022" w14:textId="77777777" w:rsidR="00B55937" w:rsidRDefault="00B55937">
      <w:pPr>
        <w:pBdr>
          <w:top w:val="nil"/>
          <w:left w:val="nil"/>
          <w:bottom w:val="nil"/>
          <w:right w:val="nil"/>
          <w:between w:val="nil"/>
        </w:pBdr>
        <w:spacing w:line="240" w:lineRule="auto"/>
        <w:ind w:firstLine="720"/>
        <w:rPr>
          <w:rFonts w:ascii="Times New Roman" w:eastAsia="Times New Roman" w:hAnsi="Times New Roman" w:cs="Times New Roman"/>
          <w:sz w:val="24"/>
          <w:szCs w:val="24"/>
        </w:rPr>
      </w:pPr>
    </w:p>
    <w:p w14:paraId="00000023" w14:textId="77777777" w:rsidR="00B55937" w:rsidRDefault="00000000">
      <w:pPr>
        <w:pBdr>
          <w:top w:val="nil"/>
          <w:left w:val="nil"/>
          <w:bottom w:val="nil"/>
          <w:right w:val="nil"/>
          <w:between w:val="nil"/>
        </w:pBdr>
        <w:spacing w:line="240" w:lineRule="auto"/>
        <w:ind w:left="2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Of note is the fact that the proportion of individuals who either already had an ASD diagnosis or met the cut-off for ASD was higher in the nonbinary group than the transgender group; similarly, this group was also less likely to have visited a gender identity clinic,” (Staggs and Vincent).</w:t>
      </w:r>
      <w:r>
        <w:rPr>
          <w:rFonts w:ascii="Times New Roman" w:eastAsia="Times New Roman" w:hAnsi="Times New Roman" w:cs="Times New Roman"/>
          <w:color w:val="000000"/>
          <w:sz w:val="24"/>
          <w:szCs w:val="24"/>
          <w:vertAlign w:val="superscript"/>
        </w:rPr>
        <w:footnoteReference w:id="19"/>
      </w:r>
    </w:p>
    <w:p w14:paraId="00000024" w14:textId="77777777" w:rsidR="00B55937" w:rsidRDefault="00B55937">
      <w:pPr>
        <w:pBdr>
          <w:top w:val="nil"/>
          <w:left w:val="nil"/>
          <w:bottom w:val="nil"/>
          <w:right w:val="nil"/>
          <w:between w:val="nil"/>
        </w:pBdr>
        <w:spacing w:line="240" w:lineRule="auto"/>
        <w:ind w:firstLine="720"/>
        <w:rPr>
          <w:rFonts w:ascii="Times New Roman" w:eastAsia="Times New Roman" w:hAnsi="Times New Roman" w:cs="Times New Roman"/>
          <w:sz w:val="24"/>
          <w:szCs w:val="24"/>
        </w:rPr>
      </w:pPr>
    </w:p>
    <w:p w14:paraId="00000025" w14:textId="6FE9D45E" w:rsidR="00B55937" w:rsidRDefault="00000000" w:rsidP="00F66AD8">
      <w:pPr>
        <w:pBdr>
          <w:top w:val="nil"/>
          <w:left w:val="nil"/>
          <w:bottom w:val="nil"/>
          <w:right w:val="nil"/>
          <w:between w:val="nil"/>
        </w:pBdr>
        <w:spacing w:line="480" w:lineRule="auto"/>
        <w:ind w:firstLine="720"/>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additional identifiers that may apply to people like me, perhaps ones that Amin would be less troubled by than nonbinary—</w:t>
      </w:r>
      <w:proofErr w:type="spellStart"/>
      <w:r>
        <w:rPr>
          <w:rFonts w:ascii="Times New Roman" w:eastAsia="Times New Roman" w:hAnsi="Times New Roman" w:cs="Times New Roman"/>
          <w:i/>
          <w:color w:val="000000"/>
          <w:sz w:val="24"/>
          <w:szCs w:val="24"/>
        </w:rPr>
        <w:t>autigender</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for example. </w:t>
      </w:r>
      <w:proofErr w:type="spellStart"/>
      <w:r>
        <w:rPr>
          <w:rFonts w:ascii="Times New Roman" w:eastAsia="Times New Roman" w:hAnsi="Times New Roman" w:cs="Times New Roman"/>
          <w:color w:val="000000"/>
          <w:sz w:val="24"/>
          <w:szCs w:val="24"/>
        </w:rPr>
        <w:t>Autigender</w:t>
      </w:r>
      <w:proofErr w:type="spellEnd"/>
      <w:r>
        <w:rPr>
          <w:rFonts w:ascii="Times New Roman" w:eastAsia="Times New Roman" w:hAnsi="Times New Roman" w:cs="Times New Roman"/>
          <w:color w:val="000000"/>
          <w:sz w:val="24"/>
          <w:szCs w:val="24"/>
        </w:rPr>
        <w:t xml:space="preserve"> is a term of unclear origin that has circulated the internet in recent years. It reflects an autistic person’s relationship to gender given that, as gender is a socialized construct and autism is a neurodevelopmental difference characterized by differences in the acquisition and performance of social skills, autistic people commonly have extremely complicated relationships with gender. Another term, </w:t>
      </w:r>
      <w:proofErr w:type="spellStart"/>
      <w:r>
        <w:rPr>
          <w:rFonts w:ascii="Times New Roman" w:eastAsia="Times New Roman" w:hAnsi="Times New Roman" w:cs="Times New Roman"/>
          <w:i/>
          <w:color w:val="000000"/>
          <w:sz w:val="24"/>
          <w:szCs w:val="24"/>
        </w:rPr>
        <w:t>neuroqueer</w:t>
      </w:r>
      <w:proofErr w:type="spellEnd"/>
      <w:r>
        <w:rPr>
          <w:rFonts w:ascii="Times New Roman" w:eastAsia="Times New Roman" w:hAnsi="Times New Roman" w:cs="Times New Roman"/>
          <w:color w:val="000000"/>
          <w:sz w:val="24"/>
          <w:szCs w:val="24"/>
        </w:rPr>
        <w:t>, coined by Nick Walker in 2008, does similar rhetorical work</w:t>
      </w:r>
      <w:r w:rsidR="00F66AD8">
        <w:rPr>
          <w:rStyle w:val="FootnoteReference"/>
          <w:rFonts w:ascii="Times New Roman" w:eastAsia="Times New Roman" w:hAnsi="Times New Roman" w:cs="Times New Roman"/>
          <w:color w:val="000000"/>
          <w:sz w:val="24"/>
          <w:szCs w:val="24"/>
        </w:rPr>
        <w:footnoteReference w:id="20"/>
      </w:r>
      <w:r>
        <w:rPr>
          <w:rFonts w:ascii="Times New Roman" w:eastAsia="Times New Roman" w:hAnsi="Times New Roman" w:cs="Times New Roman"/>
          <w:color w:val="000000"/>
          <w:sz w:val="24"/>
          <w:szCs w:val="24"/>
        </w:rPr>
        <w:t>. I have never openly self-identified with either of these terms or been referred to as such, no</w:t>
      </w:r>
      <w:r>
        <w:rPr>
          <w:rFonts w:ascii="Times New Roman" w:eastAsia="Times New Roman" w:hAnsi="Times New Roman" w:cs="Times New Roman"/>
          <w:sz w:val="24"/>
          <w:szCs w:val="24"/>
        </w:rPr>
        <w:t>r have I ever once met or heard of a person who exclusively used one of these identifiers</w:t>
      </w:r>
      <w:r>
        <w:rPr>
          <w:rFonts w:ascii="Times New Roman" w:eastAsia="Times New Roman" w:hAnsi="Times New Roman" w:cs="Times New Roman"/>
          <w:color w:val="000000"/>
          <w:sz w:val="24"/>
          <w:szCs w:val="24"/>
        </w:rPr>
        <w:t xml:space="preserve">. I could use either of </w:t>
      </w:r>
      <w:r>
        <w:rPr>
          <w:rFonts w:ascii="Times New Roman" w:eastAsia="Times New Roman" w:hAnsi="Times New Roman" w:cs="Times New Roman"/>
          <w:color w:val="000000"/>
          <w:sz w:val="24"/>
          <w:szCs w:val="24"/>
        </w:rPr>
        <w:lastRenderedPageBreak/>
        <w:t xml:space="preserve">these terms accurately and comfortably to describe my identity and would be happy to be identified as such by other people in many contexts. However, </w:t>
      </w:r>
      <w:proofErr w:type="spellStart"/>
      <w:r>
        <w:rPr>
          <w:rFonts w:ascii="Times New Roman" w:eastAsia="Times New Roman" w:hAnsi="Times New Roman" w:cs="Times New Roman"/>
          <w:color w:val="000000"/>
          <w:sz w:val="24"/>
          <w:szCs w:val="24"/>
        </w:rPr>
        <w:t>autigender</w:t>
      </w:r>
      <w:proofErr w:type="spellEnd"/>
      <w:r>
        <w:rPr>
          <w:rFonts w:ascii="Times New Roman" w:eastAsia="Times New Roman" w:hAnsi="Times New Roman" w:cs="Times New Roman"/>
          <w:color w:val="000000"/>
          <w:sz w:val="24"/>
          <w:szCs w:val="24"/>
        </w:rPr>
        <w:t xml:space="preserve"> is a particularly complicated label for two reasons: first, it is an extremely uncommon, hyper-specific identity only for autistic people that is arguably much more uncommon than </w:t>
      </w:r>
      <w:r>
        <w:rPr>
          <w:rFonts w:ascii="Times New Roman" w:eastAsia="Times New Roman" w:hAnsi="Times New Roman" w:cs="Times New Roman"/>
          <w:i/>
          <w:color w:val="000000"/>
          <w:sz w:val="24"/>
          <w:szCs w:val="24"/>
        </w:rPr>
        <w:t>genderqueer</w:t>
      </w:r>
      <w:r>
        <w:rPr>
          <w:rFonts w:ascii="Times New Roman" w:eastAsia="Times New Roman" w:hAnsi="Times New Roman" w:cs="Times New Roman"/>
          <w:color w:val="000000"/>
          <w:sz w:val="24"/>
          <w:szCs w:val="24"/>
        </w:rPr>
        <w:t xml:space="preserve"> was in the early 2000s even despite its circulation on social media. Second, calling myself </w:t>
      </w:r>
      <w:proofErr w:type="spellStart"/>
      <w:r>
        <w:rPr>
          <w:rFonts w:ascii="Times New Roman" w:eastAsia="Times New Roman" w:hAnsi="Times New Roman" w:cs="Times New Roman"/>
          <w:color w:val="000000"/>
          <w:sz w:val="24"/>
          <w:szCs w:val="24"/>
        </w:rPr>
        <w:t>autigender</w:t>
      </w:r>
      <w:proofErr w:type="spellEnd"/>
      <w:r>
        <w:rPr>
          <w:rFonts w:ascii="Times New Roman" w:eastAsia="Times New Roman" w:hAnsi="Times New Roman" w:cs="Times New Roman"/>
          <w:color w:val="000000"/>
          <w:sz w:val="24"/>
          <w:szCs w:val="24"/>
        </w:rPr>
        <w:t xml:space="preserve"> also inherently outs me as autistic with </w:t>
      </w:r>
      <w:proofErr w:type="gramStart"/>
      <w:r>
        <w:rPr>
          <w:rFonts w:ascii="Times New Roman" w:eastAsia="Times New Roman" w:hAnsi="Times New Roman" w:cs="Times New Roman"/>
          <w:color w:val="000000"/>
          <w:sz w:val="24"/>
          <w:szCs w:val="24"/>
        </w:rPr>
        <w:t>each and every</w:t>
      </w:r>
      <w:proofErr w:type="gramEnd"/>
      <w:r>
        <w:rPr>
          <w:rFonts w:ascii="Times New Roman" w:eastAsia="Times New Roman" w:hAnsi="Times New Roman" w:cs="Times New Roman"/>
          <w:color w:val="000000"/>
          <w:sz w:val="24"/>
          <w:szCs w:val="24"/>
        </w:rPr>
        <w:t xml:space="preserve"> usage. While I am typically quite open about my being on the spectrum, this detail is not something that I--or other queer autistics--can or want to openly share in all spheres of our lives.</w:t>
      </w:r>
    </w:p>
    <w:p w14:paraId="00000026" w14:textId="77777777" w:rsidR="00B55937" w:rsidRDefault="00000000" w:rsidP="00F66AD8">
      <w:pPr>
        <w:pBdr>
          <w:top w:val="nil"/>
          <w:left w:val="nil"/>
          <w:bottom w:val="nil"/>
          <w:right w:val="nil"/>
          <w:between w:val="nil"/>
        </w:pBdr>
        <w:spacing w:line="480" w:lineRule="auto"/>
        <w:ind w:firstLine="720"/>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Many today embrace autism as an identity, a social difference, but autism is itself inherently stigmatized, and we are as autistics, often grossly misunderstood or infantilized. This is, perhaps, another example I present of the positive social work of nonbinary. Nonbinary as a term may be a large umbrella, however, by electing to use nonbinary instead of </w:t>
      </w:r>
      <w:proofErr w:type="spellStart"/>
      <w:r>
        <w:rPr>
          <w:rFonts w:ascii="Times New Roman" w:eastAsia="Times New Roman" w:hAnsi="Times New Roman" w:cs="Times New Roman"/>
          <w:color w:val="000000"/>
          <w:sz w:val="24"/>
          <w:szCs w:val="24"/>
        </w:rPr>
        <w:t>autigender</w:t>
      </w:r>
      <w:proofErr w:type="spellEnd"/>
      <w:r>
        <w:rPr>
          <w:rFonts w:ascii="Times New Roman" w:eastAsia="Times New Roman" w:hAnsi="Times New Roman" w:cs="Times New Roman"/>
          <w:color w:val="000000"/>
          <w:sz w:val="24"/>
          <w:szCs w:val="24"/>
        </w:rPr>
        <w:t xml:space="preserve">, I save myself the difficulty of having to </w:t>
      </w:r>
      <w:proofErr w:type="spellStart"/>
      <w:r>
        <w:rPr>
          <w:rFonts w:ascii="Times New Roman" w:eastAsia="Times New Roman" w:hAnsi="Times New Roman" w:cs="Times New Roman"/>
          <w:color w:val="000000"/>
          <w:sz w:val="24"/>
          <w:szCs w:val="24"/>
        </w:rPr>
        <w:t>out</w:t>
      </w:r>
      <w:proofErr w:type="spellEnd"/>
      <w:r>
        <w:rPr>
          <w:rFonts w:ascii="Times New Roman" w:eastAsia="Times New Roman" w:hAnsi="Times New Roman" w:cs="Times New Roman"/>
          <w:color w:val="000000"/>
          <w:sz w:val="24"/>
          <w:szCs w:val="24"/>
        </w:rPr>
        <w:t xml:space="preserve"> myself in contexts where it would not be wise to, </w:t>
      </w:r>
      <w:proofErr w:type="gramStart"/>
      <w:r>
        <w:rPr>
          <w:rFonts w:ascii="Times New Roman" w:eastAsia="Times New Roman" w:hAnsi="Times New Roman" w:cs="Times New Roman"/>
          <w:color w:val="000000"/>
          <w:sz w:val="24"/>
          <w:szCs w:val="24"/>
        </w:rPr>
        <w:t>and also</w:t>
      </w:r>
      <w:proofErr w:type="gramEnd"/>
      <w:r>
        <w:rPr>
          <w:rFonts w:ascii="Times New Roman" w:eastAsia="Times New Roman" w:hAnsi="Times New Roman" w:cs="Times New Roman"/>
          <w:color w:val="000000"/>
          <w:sz w:val="24"/>
          <w:szCs w:val="24"/>
        </w:rPr>
        <w:t>, provide the persons I am speaking with a concept that is perhaps more accessible to them. </w:t>
      </w:r>
    </w:p>
    <w:p w14:paraId="00000027" w14:textId="77777777" w:rsidR="00B55937" w:rsidRDefault="00000000" w:rsidP="00F66AD8">
      <w:pPr>
        <w:pBdr>
          <w:top w:val="nil"/>
          <w:left w:val="nil"/>
          <w:bottom w:val="nil"/>
          <w:right w:val="nil"/>
          <w:between w:val="nil"/>
        </w:pBdr>
        <w:spacing w:line="480" w:lineRule="auto"/>
        <w:ind w:firstLine="720"/>
        <w:contextualSpacing/>
        <w:rPr>
          <w:rFonts w:ascii="Times New Roman" w:eastAsia="Times New Roman" w:hAnsi="Times New Roman" w:cs="Times New Roman"/>
          <w:i/>
          <w:sz w:val="24"/>
          <w:szCs w:val="24"/>
          <w:highlight w:val="white"/>
        </w:rPr>
      </w:pPr>
      <w:r>
        <w:rPr>
          <w:rFonts w:ascii="Times New Roman" w:eastAsia="Times New Roman" w:hAnsi="Times New Roman" w:cs="Times New Roman"/>
          <w:color w:val="000000"/>
          <w:sz w:val="24"/>
          <w:szCs w:val="24"/>
        </w:rPr>
        <w:t> </w:t>
      </w:r>
    </w:p>
    <w:p w14:paraId="00000029" w14:textId="56E9A77A" w:rsidR="00B55937" w:rsidRPr="00F66AD8" w:rsidRDefault="00000000" w:rsidP="00F66AD8">
      <w:pPr>
        <w:spacing w:line="480" w:lineRule="auto"/>
        <w:ind w:firstLine="720"/>
        <w:contextualSpacing/>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The Positive Social/Psychic Work of Nonbinary as Socially Relevant </w:t>
      </w:r>
    </w:p>
    <w:p w14:paraId="0000002A" w14:textId="77777777" w:rsidR="00B55937"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conclusion of </w:t>
      </w:r>
      <w:r>
        <w:rPr>
          <w:rFonts w:ascii="Times New Roman" w:eastAsia="Times New Roman" w:hAnsi="Times New Roman" w:cs="Times New Roman"/>
          <w:i/>
          <w:sz w:val="24"/>
          <w:szCs w:val="24"/>
        </w:rPr>
        <w:t>We Are All Nonbinary</w:t>
      </w:r>
      <w:r>
        <w:rPr>
          <w:rFonts w:ascii="Times New Roman" w:eastAsia="Times New Roman" w:hAnsi="Times New Roman" w:cs="Times New Roman"/>
          <w:sz w:val="24"/>
          <w:szCs w:val="24"/>
        </w:rPr>
        <w:t xml:space="preserve"> states: </w:t>
      </w:r>
    </w:p>
    <w:p w14:paraId="6284BA0B" w14:textId="77777777" w:rsidR="00F66AD8" w:rsidRDefault="00F66AD8">
      <w:pPr>
        <w:spacing w:line="240" w:lineRule="auto"/>
        <w:ind w:left="1440"/>
        <w:rPr>
          <w:rFonts w:ascii="Times New Roman" w:eastAsia="Times New Roman" w:hAnsi="Times New Roman" w:cs="Times New Roman"/>
          <w:sz w:val="24"/>
          <w:szCs w:val="24"/>
        </w:rPr>
      </w:pPr>
    </w:p>
    <w:p w14:paraId="0000002B" w14:textId="29B6BD31" w:rsidR="00B55937" w:rsidRDefault="00000000">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“We must, first and foremost, relinquish the fantasy that gender is a means of self-knowledge, self-expression, and authenticity rather than a shared, and therefore imperfect, social schema. This means developing a robust trans politics and discourse without gender identity,” (Amin 117-118).</w:t>
      </w:r>
      <w:r>
        <w:rPr>
          <w:rFonts w:ascii="Times New Roman" w:eastAsia="Times New Roman" w:hAnsi="Times New Roman" w:cs="Times New Roman"/>
          <w:sz w:val="24"/>
          <w:szCs w:val="24"/>
          <w:vertAlign w:val="superscript"/>
        </w:rPr>
        <w:footnoteReference w:id="21"/>
      </w:r>
    </w:p>
    <w:p w14:paraId="6A8C76CE" w14:textId="77777777" w:rsidR="00F66AD8" w:rsidRDefault="00F66AD8">
      <w:pPr>
        <w:spacing w:line="240" w:lineRule="auto"/>
        <w:ind w:left="1440"/>
        <w:rPr>
          <w:rFonts w:ascii="Times New Roman" w:eastAsia="Times New Roman" w:hAnsi="Times New Roman" w:cs="Times New Roman"/>
          <w:sz w:val="24"/>
          <w:szCs w:val="24"/>
        </w:rPr>
      </w:pPr>
    </w:p>
    <w:p w14:paraId="0000002C"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Amin earlier writes that while gender politics “are socially relevant, it is only the neoliberal universalization of identity as the basis of all politics that has made it appear necessary </w:t>
      </w:r>
      <w:r>
        <w:rPr>
          <w:rFonts w:ascii="Times New Roman" w:eastAsia="Times New Roman" w:hAnsi="Times New Roman" w:cs="Times New Roman"/>
          <w:sz w:val="24"/>
          <w:szCs w:val="24"/>
        </w:rPr>
        <w:lastRenderedPageBreak/>
        <w:t xml:space="preserve">to announce one’s gender politics as an identity—nonbinary—rather than simply enacting them,” (Amin 115-116). </w:t>
      </w:r>
      <w:r>
        <w:rPr>
          <w:rFonts w:ascii="Times New Roman" w:eastAsia="Times New Roman" w:hAnsi="Times New Roman" w:cs="Times New Roman"/>
          <w:sz w:val="24"/>
          <w:szCs w:val="24"/>
          <w:vertAlign w:val="superscript"/>
        </w:rPr>
        <w:footnoteReference w:id="22"/>
      </w:r>
      <w:r>
        <w:rPr>
          <w:rFonts w:ascii="Times New Roman" w:eastAsia="Times New Roman" w:hAnsi="Times New Roman" w:cs="Times New Roman"/>
          <w:sz w:val="24"/>
          <w:szCs w:val="24"/>
          <w:vertAlign w:val="superscript"/>
        </w:rPr>
        <w:t xml:space="preserve"> </w:t>
      </w:r>
      <w:proofErr w:type="gramStart"/>
      <w:r>
        <w:rPr>
          <w:rFonts w:ascii="Times New Roman" w:eastAsia="Times New Roman" w:hAnsi="Times New Roman" w:cs="Times New Roman"/>
          <w:sz w:val="24"/>
          <w:szCs w:val="24"/>
        </w:rPr>
        <w:t>But,</w:t>
      </w:r>
      <w:proofErr w:type="gramEnd"/>
      <w:r>
        <w:rPr>
          <w:rFonts w:ascii="Times New Roman" w:eastAsia="Times New Roman" w:hAnsi="Times New Roman" w:cs="Times New Roman"/>
          <w:sz w:val="24"/>
          <w:szCs w:val="24"/>
        </w:rPr>
        <w:t xml:space="preserve"> can we as nonbinary people separate our identities from our politics when our identities are so often politicized? Is identity not part of the meaningful social work of transition?   </w:t>
      </w:r>
    </w:p>
    <w:p w14:paraId="0000002D" w14:textId="5248ECFF" w:rsidR="00B55937" w:rsidRDefault="00000000" w:rsidP="00F66AD8">
      <w:pPr>
        <w:shd w:val="clear" w:color="auto" w:fill="FFFFFF"/>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 her 2003 work</w:t>
      </w:r>
      <w:r>
        <w:rPr>
          <w:rFonts w:ascii="Times New Roman" w:eastAsia="Times New Roman" w:hAnsi="Times New Roman" w:cs="Times New Roman"/>
          <w:i/>
          <w:sz w:val="24"/>
          <w:szCs w:val="24"/>
        </w:rPr>
        <w:t xml:space="preserve"> Feminism Without Borders</w:t>
      </w:r>
      <w:r>
        <w:rPr>
          <w:rFonts w:ascii="Times New Roman" w:eastAsia="Times New Roman" w:hAnsi="Times New Roman" w:cs="Times New Roman"/>
          <w:sz w:val="24"/>
          <w:szCs w:val="24"/>
        </w:rPr>
        <w:t xml:space="preserve">, Mohanty defines her antiracist feminism as situated </w:t>
      </w:r>
      <w:proofErr w:type="spellStart"/>
      <w:r>
        <w:rPr>
          <w:rFonts w:ascii="Times New Roman" w:eastAsia="Times New Roman" w:hAnsi="Times New Roman" w:cs="Times New Roman"/>
          <w:sz w:val="24"/>
          <w:szCs w:val="24"/>
        </w:rPr>
        <w:t>kairotically</w:t>
      </w:r>
      <w:proofErr w:type="spellEnd"/>
      <w:r>
        <w:rPr>
          <w:rFonts w:ascii="Times New Roman" w:eastAsia="Times New Roman" w:hAnsi="Times New Roman" w:cs="Times New Roman"/>
          <w:sz w:val="24"/>
          <w:szCs w:val="24"/>
        </w:rPr>
        <w:t xml:space="preserve"> in sociopolitical and economic context “anchored in decolonization and committed to anti-capitalist critique,” (Mohanty 2).</w:t>
      </w:r>
      <w:r w:rsidR="00B175E2">
        <w:rPr>
          <w:rStyle w:val="FootnoteReference"/>
          <w:rFonts w:ascii="Times New Roman" w:eastAsia="Times New Roman" w:hAnsi="Times New Roman" w:cs="Times New Roman"/>
          <w:sz w:val="24"/>
          <w:szCs w:val="24"/>
        </w:rPr>
        <w:footnoteReference w:id="23"/>
      </w:r>
      <w:r>
        <w:rPr>
          <w:rFonts w:ascii="Times New Roman" w:eastAsia="Times New Roman" w:hAnsi="Times New Roman" w:cs="Times New Roman"/>
          <w:sz w:val="24"/>
          <w:szCs w:val="24"/>
        </w:rPr>
        <w:t xml:space="preserve">She describes that this form of antiracist feminism moves away from “vague assumptions of sisterhood” or “complete identification with [others]” toward instead a goal of “feminist solidarity.” Mohanty states that her own framework of feminism comes from both her experiences growing up in a postcolonial Mumbai and from a “genealogy” of socialist feminist thinkers of the 1970s and 1980s who, in their own </w:t>
      </w:r>
      <w:proofErr w:type="spellStart"/>
      <w:r>
        <w:rPr>
          <w:rFonts w:ascii="Times New Roman" w:eastAsia="Times New Roman" w:hAnsi="Times New Roman" w:cs="Times New Roman"/>
          <w:sz w:val="24"/>
          <w:szCs w:val="24"/>
        </w:rPr>
        <w:t>kairotic</w:t>
      </w:r>
      <w:proofErr w:type="spellEnd"/>
      <w:r>
        <w:rPr>
          <w:rFonts w:ascii="Times New Roman" w:eastAsia="Times New Roman" w:hAnsi="Times New Roman" w:cs="Times New Roman"/>
          <w:sz w:val="24"/>
          <w:szCs w:val="24"/>
        </w:rPr>
        <w:t xml:space="preserve"> positioning, critiqued major scholarly movements such as Marxism (which is, according to Mohanty, “implicitly masculinist,”) and U.S.-based queer women of color who faced “profound racism and heterosexism” in the then white feminist-centered Women’s Movement (Mohanty 4). She then describes three “problematic directions” of contemporary feminist movements in the United States which include: a class-based gap between the academic circles that work in feminist thought and the average person, capitalist notions regarding women’s advancement, and the critique of ‘identity politics’ which </w:t>
      </w:r>
      <w:proofErr w:type="spellStart"/>
      <w:r>
        <w:rPr>
          <w:rFonts w:ascii="Times New Roman" w:eastAsia="Times New Roman" w:hAnsi="Times New Roman" w:cs="Times New Roman"/>
          <w:sz w:val="24"/>
          <w:szCs w:val="24"/>
        </w:rPr>
        <w:t>desituates</w:t>
      </w:r>
      <w:proofErr w:type="spellEnd"/>
      <w:r>
        <w:rPr>
          <w:rFonts w:ascii="Times New Roman" w:eastAsia="Times New Roman" w:hAnsi="Times New Roman" w:cs="Times New Roman"/>
          <w:sz w:val="24"/>
          <w:szCs w:val="24"/>
        </w:rPr>
        <w:t xml:space="preserve"> identity as a source of knowledge and personal experience that is socially relevant.  </w:t>
      </w:r>
    </w:p>
    <w:p w14:paraId="0000002E" w14:textId="77777777" w:rsidR="00B55937" w:rsidRDefault="00000000" w:rsidP="00F66AD8">
      <w:pPr>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In the Trevor Project’s 2021 Survey on LGBTQ Youth Mental Health</w:t>
      </w:r>
      <w:r>
        <w:rPr>
          <w:rFonts w:ascii="Times New Roman" w:eastAsia="Times New Roman" w:hAnsi="Times New Roman" w:cs="Times New Roman"/>
          <w:sz w:val="24"/>
          <w:szCs w:val="24"/>
        </w:rPr>
        <w:t xml:space="preserve"> confirmed that, in a population of surveyed subjects ages 13-24, affirming transgender and nonbinary youth by </w:t>
      </w:r>
      <w:r>
        <w:rPr>
          <w:rFonts w:ascii="Times New Roman" w:eastAsia="Times New Roman" w:hAnsi="Times New Roman" w:cs="Times New Roman"/>
          <w:sz w:val="24"/>
          <w:szCs w:val="24"/>
        </w:rPr>
        <w:lastRenderedPageBreak/>
        <w:t xml:space="preserve">respecting their pronouns and allowing them to change legal documents with their names or gender markers such as birth certificates and drivers’ licenses was associated with lower rates of attempting suicide (Trevor Project). </w:t>
      </w:r>
      <w:r>
        <w:rPr>
          <w:rFonts w:ascii="Times New Roman" w:eastAsia="Times New Roman" w:hAnsi="Times New Roman" w:cs="Times New Roman"/>
          <w:sz w:val="24"/>
          <w:szCs w:val="24"/>
          <w:vertAlign w:val="superscript"/>
        </w:rPr>
        <w:footnoteReference w:id="24"/>
      </w:r>
      <w:r>
        <w:rPr>
          <w:rFonts w:ascii="Times New Roman" w:eastAsia="Times New Roman" w:hAnsi="Times New Roman" w:cs="Times New Roman"/>
          <w:sz w:val="24"/>
          <w:szCs w:val="24"/>
        </w:rPr>
        <w:t xml:space="preserve"> Of the youth sampled, approximately 7% of them had successfully changed these documents, while 36% responded that they were planning to (Trevor Project). A remaining 57% were recorded as ‘not legally able to change documents.’ (Trevor Project). While we cannot confirm how many of these young people would change those documents if they were legally able to, there is a meaningful distinction here between how many of these young people would if it were possible versus would not ever, perhaps indicating that many of the young nonbinary people represented in this data are, in fact, participating in what even Amin might call relevant social transition.  </w:t>
      </w:r>
    </w:p>
    <w:p w14:paraId="0000002F" w14:textId="77777777" w:rsidR="00B55937" w:rsidRDefault="00000000" w:rsidP="00F66AD8">
      <w:pPr>
        <w:shd w:val="clear" w:color="auto" w:fill="FFFFFF"/>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Returning once again to the 2021 Trevor Project Survey on LGBTQ Mental Health, the survey found that among transgender and nonbinary youth whose pronouns were respected at home, 13% of respondents attempted suicide even when all persons in the home respected their pronouns</w:t>
      </w:r>
      <w:r>
        <w:rPr>
          <w:rFonts w:ascii="Times New Roman" w:eastAsia="Times New Roman" w:hAnsi="Times New Roman" w:cs="Times New Roman"/>
          <w:sz w:val="24"/>
          <w:szCs w:val="24"/>
          <w:vertAlign w:val="superscript"/>
        </w:rPr>
        <w:footnoteReference w:id="25"/>
      </w:r>
      <w:r>
        <w:rPr>
          <w:rFonts w:ascii="Times New Roman" w:eastAsia="Times New Roman" w:hAnsi="Times New Roman" w:cs="Times New Roman"/>
          <w:sz w:val="24"/>
          <w:szCs w:val="24"/>
        </w:rPr>
        <w:t>. These numbers rose to 19% when only some persons in the home respected their pronouns, and 24% when no one in the home respected their pronouns</w:t>
      </w:r>
      <w:r>
        <w:rPr>
          <w:rFonts w:ascii="Times New Roman" w:eastAsia="Times New Roman" w:hAnsi="Times New Roman" w:cs="Times New Roman"/>
          <w:sz w:val="24"/>
          <w:szCs w:val="24"/>
          <w:vertAlign w:val="superscript"/>
        </w:rPr>
        <w:footnoteReference w:id="26"/>
      </w:r>
      <w:r>
        <w:rPr>
          <w:rFonts w:ascii="Times New Roman" w:eastAsia="Times New Roman" w:hAnsi="Times New Roman" w:cs="Times New Roman"/>
          <w:sz w:val="24"/>
          <w:szCs w:val="24"/>
        </w:rPr>
        <w:t xml:space="preserve">. Wherever we may draw the lines of social realization of identity versus psychic work, we cannot deny that psychic work often reflects in socialized realities for our youth. Nonbinary as an identifier is particularly common among LGBTQ youth. </w:t>
      </w:r>
    </w:p>
    <w:p w14:paraId="00000030" w14:textId="77777777" w:rsidR="00B55937" w:rsidRDefault="00000000" w:rsidP="00F66AD8">
      <w:pPr>
        <w:shd w:val="clear" w:color="auto" w:fill="FFFFFF"/>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 closing I’d like to comment on the positive social work of</w:t>
      </w:r>
      <w:r>
        <w:rPr>
          <w:rFonts w:ascii="Times New Roman" w:eastAsia="Times New Roman" w:hAnsi="Times New Roman" w:cs="Times New Roman"/>
          <w:i/>
          <w:sz w:val="24"/>
          <w:szCs w:val="24"/>
        </w:rPr>
        <w:t xml:space="preserve"> nonbinary</w:t>
      </w:r>
      <w:r>
        <w:rPr>
          <w:rFonts w:ascii="Times New Roman" w:eastAsia="Times New Roman" w:hAnsi="Times New Roman" w:cs="Times New Roman"/>
          <w:sz w:val="24"/>
          <w:szCs w:val="24"/>
        </w:rPr>
        <w:t xml:space="preserve">, particularly as an identity common amongst LGBTQ youth ages 13-24 and as a concept made more accessible in </w:t>
      </w:r>
      <w:r>
        <w:rPr>
          <w:rFonts w:ascii="Times New Roman" w:eastAsia="Times New Roman" w:hAnsi="Times New Roman" w:cs="Times New Roman"/>
          <w:sz w:val="24"/>
          <w:szCs w:val="24"/>
        </w:rPr>
        <w:lastRenderedPageBreak/>
        <w:t>part by online communities</w:t>
      </w:r>
      <w:r>
        <w:rPr>
          <w:rFonts w:ascii="Times New Roman" w:eastAsia="Times New Roman" w:hAnsi="Times New Roman" w:cs="Times New Roman"/>
          <w:sz w:val="24"/>
          <w:szCs w:val="24"/>
          <w:vertAlign w:val="superscript"/>
        </w:rPr>
        <w:footnoteReference w:id="27"/>
      </w:r>
      <w:r>
        <w:rPr>
          <w:rFonts w:ascii="Times New Roman" w:eastAsia="Times New Roman" w:hAnsi="Times New Roman" w:cs="Times New Roman"/>
          <w:sz w:val="24"/>
          <w:szCs w:val="24"/>
        </w:rPr>
        <w:t xml:space="preserve">. Nonbinary is, indeed, ubiquitous, but as I am sure that many of us remember from our first moments of questioning were quite ubiquitous as well. This is not to suggest that there is something perhaps impermanent about nonbinary identity, or that nonbinary is simply a stopover on the way to other identities. Given the relative short history of the term, fourteen years as of this writing, we cannot yet truly claim to know how many nonbinary people will identify in the coming decades. However, what we do see now is a sizable generation of LGBTQ children participating in the psychic work of identity, considering, even temporarily, if they may not experience the gender they were assigned to participate in at birth. Is this alone not positive social work?       </w:t>
      </w:r>
    </w:p>
    <w:p w14:paraId="00000031" w14:textId="77777777" w:rsidR="00B55937" w:rsidRDefault="00B55937" w:rsidP="00F66AD8">
      <w:pPr>
        <w:shd w:val="clear" w:color="auto" w:fill="FFFFFF"/>
        <w:spacing w:line="480" w:lineRule="auto"/>
        <w:ind w:firstLine="720"/>
        <w:contextualSpacing/>
        <w:rPr>
          <w:rFonts w:ascii="Times New Roman" w:eastAsia="Times New Roman" w:hAnsi="Times New Roman" w:cs="Times New Roman"/>
          <w:sz w:val="24"/>
          <w:szCs w:val="24"/>
        </w:rPr>
      </w:pPr>
    </w:p>
    <w:p w14:paraId="00000032"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3"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4"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5"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6"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7"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8"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9"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A"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B"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C"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D"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E"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F"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0"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1"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2"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4" w14:textId="77777777" w:rsidR="00B55937" w:rsidRDefault="00B55937" w:rsidP="00B175E2">
      <w:pPr>
        <w:shd w:val="clear" w:color="auto" w:fill="FFFFFF"/>
        <w:spacing w:line="240" w:lineRule="auto"/>
        <w:rPr>
          <w:rFonts w:ascii="Times New Roman" w:eastAsia="Times New Roman" w:hAnsi="Times New Roman" w:cs="Times New Roman"/>
          <w:sz w:val="24"/>
          <w:szCs w:val="24"/>
        </w:rPr>
      </w:pPr>
    </w:p>
    <w:p w14:paraId="00000045"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6"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F" w14:textId="7D5A1201" w:rsidR="00B55937" w:rsidRDefault="00B55937">
      <w:pPr>
        <w:shd w:val="clear" w:color="auto" w:fill="FFFFFF"/>
        <w:spacing w:line="240" w:lineRule="auto"/>
        <w:rPr>
          <w:rFonts w:ascii="Times New Roman" w:eastAsia="Times New Roman" w:hAnsi="Times New Roman" w:cs="Times New Roman"/>
          <w:sz w:val="24"/>
          <w:szCs w:val="24"/>
        </w:rPr>
      </w:pPr>
    </w:p>
    <w:p w14:paraId="0371A448" w14:textId="77777777" w:rsidR="00F66AD8" w:rsidRDefault="00F66AD8">
      <w:pPr>
        <w:shd w:val="clear" w:color="auto" w:fill="FFFFFF"/>
        <w:spacing w:line="240" w:lineRule="auto"/>
        <w:rPr>
          <w:rFonts w:ascii="Times New Roman" w:eastAsia="Times New Roman" w:hAnsi="Times New Roman" w:cs="Times New Roman"/>
          <w:sz w:val="24"/>
          <w:szCs w:val="24"/>
        </w:rPr>
      </w:pPr>
    </w:p>
    <w:p w14:paraId="00000050" w14:textId="77777777" w:rsidR="00B55937" w:rsidRPr="00F66AD8" w:rsidRDefault="00000000" w:rsidP="00F66AD8">
      <w:pPr>
        <w:shd w:val="clear" w:color="auto" w:fill="FFFFFF"/>
        <w:spacing w:line="480" w:lineRule="auto"/>
        <w:contextualSpacing/>
        <w:jc w:val="center"/>
        <w:rPr>
          <w:rFonts w:ascii="Times New Roman" w:eastAsia="Times New Roman" w:hAnsi="Times New Roman" w:cs="Times New Roman"/>
          <w:sz w:val="24"/>
          <w:szCs w:val="24"/>
        </w:rPr>
      </w:pPr>
      <w:r w:rsidRPr="00F66AD8">
        <w:rPr>
          <w:rFonts w:ascii="Times New Roman" w:eastAsia="Times New Roman" w:hAnsi="Times New Roman" w:cs="Times New Roman"/>
          <w:sz w:val="24"/>
          <w:szCs w:val="24"/>
        </w:rPr>
        <w:lastRenderedPageBreak/>
        <w:t>Works Cited</w:t>
      </w:r>
    </w:p>
    <w:p w14:paraId="00000051" w14:textId="39B811A2" w:rsidR="00B55937" w:rsidRPr="00F66AD8" w:rsidRDefault="00000000"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 xml:space="preserve">2022 Florida Parental Rights in Education Act </w:t>
      </w:r>
    </w:p>
    <w:p w14:paraId="00000052" w14:textId="77777777" w:rsidR="00B55937" w:rsidRPr="00F66AD8" w:rsidRDefault="00000000"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 xml:space="preserve">Amin, </w:t>
      </w:r>
      <w:proofErr w:type="spellStart"/>
      <w:r w:rsidRPr="00F66AD8">
        <w:rPr>
          <w:rFonts w:ascii="Times New Roman" w:eastAsia="Times New Roman" w:hAnsi="Times New Roman" w:cs="Times New Roman"/>
          <w:color w:val="000000"/>
          <w:sz w:val="24"/>
          <w:szCs w:val="24"/>
        </w:rPr>
        <w:t>Kadji</w:t>
      </w:r>
      <w:proofErr w:type="spellEnd"/>
      <w:r w:rsidRPr="00F66AD8">
        <w:rPr>
          <w:rFonts w:ascii="Times New Roman" w:eastAsia="Times New Roman" w:hAnsi="Times New Roman" w:cs="Times New Roman"/>
          <w:color w:val="000000"/>
          <w:sz w:val="24"/>
          <w:szCs w:val="24"/>
        </w:rPr>
        <w:t xml:space="preserve">. “We Are All Nonbinary.” </w:t>
      </w:r>
      <w:r w:rsidRPr="00F66AD8">
        <w:rPr>
          <w:rFonts w:ascii="Times New Roman" w:eastAsia="Times New Roman" w:hAnsi="Times New Roman" w:cs="Times New Roman"/>
          <w:i/>
          <w:color w:val="000000"/>
          <w:sz w:val="24"/>
          <w:szCs w:val="24"/>
        </w:rPr>
        <w:t>Representations</w:t>
      </w:r>
      <w:r w:rsidRPr="00F66AD8">
        <w:rPr>
          <w:rFonts w:ascii="Times New Roman" w:eastAsia="Times New Roman" w:hAnsi="Times New Roman" w:cs="Times New Roman"/>
          <w:color w:val="000000"/>
          <w:sz w:val="24"/>
          <w:szCs w:val="24"/>
        </w:rPr>
        <w:t xml:space="preserve"> 158, no. 1 (May 1, 2022): 106–19. https://doi.org/10.1525/rep.2022.158.11.106.</w:t>
      </w:r>
    </w:p>
    <w:p w14:paraId="00000053" w14:textId="77777777" w:rsidR="00B55937" w:rsidRPr="00F66AD8" w:rsidRDefault="00000000"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 xml:space="preserve">Butler, Judith. </w:t>
      </w:r>
      <w:r w:rsidRPr="00F66AD8">
        <w:rPr>
          <w:rFonts w:ascii="Times New Roman" w:eastAsia="Times New Roman" w:hAnsi="Times New Roman" w:cs="Times New Roman"/>
          <w:i/>
          <w:color w:val="000000"/>
          <w:sz w:val="24"/>
          <w:szCs w:val="24"/>
        </w:rPr>
        <w:t>Gender Trouble: Feminism and the Subversion of Identity</w:t>
      </w:r>
      <w:r w:rsidRPr="00F66AD8">
        <w:rPr>
          <w:rFonts w:ascii="Times New Roman" w:eastAsia="Times New Roman" w:hAnsi="Times New Roman" w:cs="Times New Roman"/>
          <w:color w:val="000000"/>
          <w:sz w:val="24"/>
          <w:szCs w:val="24"/>
        </w:rPr>
        <w:t>. Routledge, 1999.</w:t>
      </w:r>
    </w:p>
    <w:p w14:paraId="5881E953" w14:textId="77777777" w:rsidR="00F66AD8" w:rsidRPr="00F66AD8" w:rsidRDefault="00B175E2" w:rsidP="00F66AD8">
      <w:pPr>
        <w:pStyle w:val="Bibliography"/>
        <w:spacing w:line="480" w:lineRule="auto"/>
        <w:contextualSpacing/>
        <w:rPr>
          <w:rFonts w:ascii="Times New Roman" w:hAnsi="Times New Roman" w:cs="Times New Roman"/>
          <w:sz w:val="24"/>
          <w:szCs w:val="24"/>
        </w:rPr>
      </w:pPr>
      <w:r w:rsidRPr="00F66AD8">
        <w:rPr>
          <w:rFonts w:eastAsia="Times New Roman"/>
          <w:sz w:val="24"/>
          <w:szCs w:val="24"/>
        </w:rPr>
        <w:fldChar w:fldCharType="begin"/>
      </w:r>
      <w:r w:rsidRPr="00F66AD8">
        <w:rPr>
          <w:rFonts w:eastAsia="Times New Roman"/>
          <w:sz w:val="24"/>
          <w:szCs w:val="24"/>
        </w:rPr>
        <w:instrText xml:space="preserve"> ADDIN ZOTERO_BIBL {"uncited":[],"omitted":[],"custom":[]} CSL_BIBLIOGRAPHY </w:instrText>
      </w:r>
      <w:r w:rsidRPr="00F66AD8">
        <w:rPr>
          <w:rFonts w:eastAsia="Times New Roman"/>
          <w:sz w:val="24"/>
          <w:szCs w:val="24"/>
        </w:rPr>
        <w:fldChar w:fldCharType="separate"/>
      </w:r>
      <w:r w:rsidR="00F66AD8" w:rsidRPr="00F66AD8">
        <w:rPr>
          <w:rFonts w:ascii="Times New Roman" w:hAnsi="Times New Roman" w:cs="Times New Roman"/>
          <w:sz w:val="24"/>
          <w:szCs w:val="24"/>
        </w:rPr>
        <w:t xml:space="preserve">Byron, Paul, Brady Robards, Benjamin </w:t>
      </w:r>
      <w:proofErr w:type="spellStart"/>
      <w:r w:rsidR="00F66AD8" w:rsidRPr="00F66AD8">
        <w:rPr>
          <w:rFonts w:ascii="Times New Roman" w:hAnsi="Times New Roman" w:cs="Times New Roman"/>
          <w:sz w:val="24"/>
          <w:szCs w:val="24"/>
        </w:rPr>
        <w:t>Hanckel</w:t>
      </w:r>
      <w:proofErr w:type="spellEnd"/>
      <w:r w:rsidR="00F66AD8" w:rsidRPr="00F66AD8">
        <w:rPr>
          <w:rFonts w:ascii="Times New Roman" w:hAnsi="Times New Roman" w:cs="Times New Roman"/>
          <w:sz w:val="24"/>
          <w:szCs w:val="24"/>
        </w:rPr>
        <w:t xml:space="preserve">, Son Vivienne, and Brendan Churchill. “‘Hey, I’m Having These Experiences’: Tumblr Use and Young People’s Queer (Dis)Connections.” </w:t>
      </w:r>
      <w:r w:rsidR="00F66AD8" w:rsidRPr="00F66AD8">
        <w:rPr>
          <w:rFonts w:ascii="Times New Roman" w:hAnsi="Times New Roman" w:cs="Times New Roman"/>
          <w:i/>
          <w:iCs/>
          <w:sz w:val="24"/>
          <w:szCs w:val="24"/>
        </w:rPr>
        <w:t>International Journal of Communication</w:t>
      </w:r>
      <w:r w:rsidR="00F66AD8" w:rsidRPr="00F66AD8">
        <w:rPr>
          <w:rFonts w:ascii="Times New Roman" w:hAnsi="Times New Roman" w:cs="Times New Roman"/>
          <w:sz w:val="24"/>
          <w:szCs w:val="24"/>
        </w:rPr>
        <w:t xml:space="preserve"> 13, no. 0 (May 14, 2019): 20.</w:t>
      </w:r>
    </w:p>
    <w:p w14:paraId="61D32F79" w14:textId="58768DAE" w:rsidR="00F66AD8" w:rsidRPr="00F66AD8" w:rsidRDefault="00F66AD8"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proofErr w:type="spellStart"/>
      <w:r w:rsidRPr="00F66AD8">
        <w:rPr>
          <w:rFonts w:ascii="Times New Roman" w:eastAsia="Times New Roman" w:hAnsi="Times New Roman" w:cs="Times New Roman"/>
          <w:color w:val="000000"/>
          <w:sz w:val="24"/>
          <w:szCs w:val="24"/>
        </w:rPr>
        <w:t>Germon</w:t>
      </w:r>
      <w:proofErr w:type="spellEnd"/>
      <w:r w:rsidRPr="00F66AD8">
        <w:rPr>
          <w:rFonts w:ascii="Times New Roman" w:eastAsia="Times New Roman" w:hAnsi="Times New Roman" w:cs="Times New Roman"/>
          <w:color w:val="000000"/>
          <w:sz w:val="24"/>
          <w:szCs w:val="24"/>
        </w:rPr>
        <w:t xml:space="preserve">, J. </w:t>
      </w:r>
      <w:r w:rsidRPr="00F66AD8">
        <w:rPr>
          <w:rFonts w:ascii="Times New Roman" w:eastAsia="Times New Roman" w:hAnsi="Times New Roman" w:cs="Times New Roman"/>
          <w:i/>
          <w:color w:val="000000"/>
          <w:sz w:val="24"/>
          <w:szCs w:val="24"/>
        </w:rPr>
        <w:t>Gender: A Genealogy of an Idea</w:t>
      </w:r>
      <w:r w:rsidRPr="00F66AD8">
        <w:rPr>
          <w:rFonts w:ascii="Times New Roman" w:eastAsia="Times New Roman" w:hAnsi="Times New Roman" w:cs="Times New Roman"/>
          <w:color w:val="000000"/>
          <w:sz w:val="24"/>
          <w:szCs w:val="24"/>
        </w:rPr>
        <w:t>. Springer, 2009.</w:t>
      </w:r>
    </w:p>
    <w:p w14:paraId="0AE0EF12" w14:textId="01E8FA33" w:rsidR="00F66AD8" w:rsidRPr="00F66AD8" w:rsidRDefault="00F66AD8" w:rsidP="00F66AD8">
      <w:pPr>
        <w:pStyle w:val="Bibliography"/>
        <w:spacing w:line="480" w:lineRule="auto"/>
        <w:contextualSpacing/>
        <w:rPr>
          <w:rFonts w:ascii="Times New Roman" w:hAnsi="Times New Roman" w:cs="Times New Roman"/>
          <w:sz w:val="24"/>
          <w:szCs w:val="24"/>
        </w:rPr>
      </w:pPr>
      <w:r w:rsidRPr="00F66AD8">
        <w:rPr>
          <w:rFonts w:ascii="Times New Roman" w:hAnsi="Times New Roman" w:cs="Times New Roman"/>
          <w:sz w:val="24"/>
          <w:szCs w:val="24"/>
        </w:rPr>
        <w:t xml:space="preserve">Mohanty, Chandra Talpade. </w:t>
      </w:r>
      <w:r w:rsidRPr="00F66AD8">
        <w:rPr>
          <w:rFonts w:ascii="Times New Roman" w:hAnsi="Times New Roman" w:cs="Times New Roman"/>
          <w:i/>
          <w:iCs/>
          <w:sz w:val="24"/>
          <w:szCs w:val="24"/>
        </w:rPr>
        <w:t>Feminism without Borders: Decolonizing Theory, Practicing Solidarity</w:t>
      </w:r>
      <w:r w:rsidRPr="00F66AD8">
        <w:rPr>
          <w:rFonts w:ascii="Times New Roman" w:hAnsi="Times New Roman" w:cs="Times New Roman"/>
          <w:sz w:val="24"/>
          <w:szCs w:val="24"/>
        </w:rPr>
        <w:t>. Duke University Press, 2003.</w:t>
      </w:r>
    </w:p>
    <w:p w14:paraId="724037D0" w14:textId="6E9146C1" w:rsidR="00F66AD8" w:rsidRPr="00F66AD8" w:rsidRDefault="00F66AD8" w:rsidP="00F66AD8">
      <w:pPr>
        <w:pStyle w:val="Bibliography"/>
        <w:spacing w:line="480" w:lineRule="auto"/>
        <w:contextualSpacing/>
        <w:rPr>
          <w:rFonts w:ascii="Times New Roman" w:hAnsi="Times New Roman" w:cs="Times New Roman"/>
          <w:sz w:val="24"/>
          <w:szCs w:val="24"/>
        </w:rPr>
      </w:pPr>
      <w:r w:rsidRPr="00F66AD8">
        <w:rPr>
          <w:rFonts w:ascii="Times New Roman" w:hAnsi="Times New Roman" w:cs="Times New Roman"/>
          <w:sz w:val="24"/>
          <w:szCs w:val="24"/>
        </w:rPr>
        <w:t>“NEUROQUEER • THE WRITINGS OF DR. NICK WALKER.” Accessed September 15, 2022. https://neuroqueer.com/.</w:t>
      </w:r>
    </w:p>
    <w:p w14:paraId="5654403D" w14:textId="16D5ED70" w:rsidR="00F66AD8" w:rsidRPr="00F66AD8" w:rsidRDefault="00F66AD8"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 xml:space="preserve">Strang, John F., Lauren Kenworthy, Aleksandra </w:t>
      </w:r>
      <w:proofErr w:type="spellStart"/>
      <w:r w:rsidRPr="00F66AD8">
        <w:rPr>
          <w:rFonts w:ascii="Times New Roman" w:eastAsia="Times New Roman" w:hAnsi="Times New Roman" w:cs="Times New Roman"/>
          <w:color w:val="000000"/>
          <w:sz w:val="24"/>
          <w:szCs w:val="24"/>
        </w:rPr>
        <w:t>Dominska</w:t>
      </w:r>
      <w:proofErr w:type="spellEnd"/>
      <w:r w:rsidRPr="00F66AD8">
        <w:rPr>
          <w:rFonts w:ascii="Times New Roman" w:eastAsia="Times New Roman" w:hAnsi="Times New Roman" w:cs="Times New Roman"/>
          <w:color w:val="000000"/>
          <w:sz w:val="24"/>
          <w:szCs w:val="24"/>
        </w:rPr>
        <w:t xml:space="preserve">, Jennifer Sokoloff, Laura E. </w:t>
      </w:r>
      <w:proofErr w:type="spellStart"/>
      <w:r w:rsidRPr="00F66AD8">
        <w:rPr>
          <w:rFonts w:ascii="Times New Roman" w:eastAsia="Times New Roman" w:hAnsi="Times New Roman" w:cs="Times New Roman"/>
          <w:color w:val="000000"/>
          <w:sz w:val="24"/>
          <w:szCs w:val="24"/>
        </w:rPr>
        <w:t>Kenealy</w:t>
      </w:r>
      <w:proofErr w:type="spellEnd"/>
      <w:r w:rsidRPr="00F66AD8">
        <w:rPr>
          <w:rFonts w:ascii="Times New Roman" w:eastAsia="Times New Roman" w:hAnsi="Times New Roman" w:cs="Times New Roman"/>
          <w:color w:val="000000"/>
          <w:sz w:val="24"/>
          <w:szCs w:val="24"/>
        </w:rPr>
        <w:t xml:space="preserve">, Madison </w:t>
      </w:r>
      <w:proofErr w:type="spellStart"/>
      <w:r w:rsidRPr="00F66AD8">
        <w:rPr>
          <w:rFonts w:ascii="Times New Roman" w:eastAsia="Times New Roman" w:hAnsi="Times New Roman" w:cs="Times New Roman"/>
          <w:color w:val="000000"/>
          <w:sz w:val="24"/>
          <w:szCs w:val="24"/>
        </w:rPr>
        <w:t>Berl</w:t>
      </w:r>
      <w:proofErr w:type="spellEnd"/>
      <w:r w:rsidRPr="00F66AD8">
        <w:rPr>
          <w:rFonts w:ascii="Times New Roman" w:eastAsia="Times New Roman" w:hAnsi="Times New Roman" w:cs="Times New Roman"/>
          <w:color w:val="000000"/>
          <w:sz w:val="24"/>
          <w:szCs w:val="24"/>
        </w:rPr>
        <w:t xml:space="preserve">, Karin Walsh, et al. “Increased Gender Variance in Autism Spectrum Disorders and Attention Deficit Hyperactivity Disorder.” </w:t>
      </w:r>
      <w:r w:rsidRPr="00F66AD8">
        <w:rPr>
          <w:rFonts w:ascii="Times New Roman" w:eastAsia="Times New Roman" w:hAnsi="Times New Roman" w:cs="Times New Roman"/>
          <w:i/>
          <w:color w:val="000000"/>
          <w:sz w:val="24"/>
          <w:szCs w:val="24"/>
        </w:rPr>
        <w:t>Archives of Sexual Behavior</w:t>
      </w:r>
      <w:r w:rsidRPr="00F66AD8">
        <w:rPr>
          <w:rFonts w:ascii="Times New Roman" w:eastAsia="Times New Roman" w:hAnsi="Times New Roman" w:cs="Times New Roman"/>
          <w:color w:val="000000"/>
          <w:sz w:val="24"/>
          <w:szCs w:val="24"/>
        </w:rPr>
        <w:t xml:space="preserve"> 43, no. 8 (November 2014): 1525–33. https://doi.org/10.1007/s10508-014-0285-3.</w:t>
      </w:r>
    </w:p>
    <w:p w14:paraId="2802A593" w14:textId="1A8E42E9" w:rsidR="00F66AD8" w:rsidRPr="00F66AD8" w:rsidRDefault="00F66AD8"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“The Trevor Project National Survey.” Accessed September 14, 2022. https://www.TheTrevorProject.org/survey-2021/.</w:t>
      </w:r>
    </w:p>
    <w:p w14:paraId="24AA2232" w14:textId="77777777" w:rsidR="00F66AD8" w:rsidRPr="00F66AD8" w:rsidRDefault="00F66AD8" w:rsidP="00F66AD8">
      <w:pPr>
        <w:pStyle w:val="Bibliography"/>
        <w:spacing w:line="480" w:lineRule="auto"/>
        <w:contextualSpacing/>
        <w:rPr>
          <w:rFonts w:ascii="Times New Roman" w:hAnsi="Times New Roman" w:cs="Times New Roman"/>
          <w:sz w:val="24"/>
          <w:szCs w:val="24"/>
        </w:rPr>
      </w:pPr>
      <w:proofErr w:type="spellStart"/>
      <w:r w:rsidRPr="00F66AD8">
        <w:rPr>
          <w:rFonts w:ascii="Times New Roman" w:hAnsi="Times New Roman" w:cs="Times New Roman"/>
          <w:sz w:val="24"/>
          <w:szCs w:val="24"/>
        </w:rPr>
        <w:t>Wilchins</w:t>
      </w:r>
      <w:proofErr w:type="spellEnd"/>
      <w:r w:rsidRPr="00F66AD8">
        <w:rPr>
          <w:rFonts w:ascii="Times New Roman" w:hAnsi="Times New Roman" w:cs="Times New Roman"/>
          <w:sz w:val="24"/>
          <w:szCs w:val="24"/>
        </w:rPr>
        <w:t xml:space="preserve">, </w:t>
      </w:r>
      <w:proofErr w:type="spellStart"/>
      <w:r w:rsidRPr="00F66AD8">
        <w:rPr>
          <w:rFonts w:ascii="Times New Roman" w:hAnsi="Times New Roman" w:cs="Times New Roman"/>
          <w:sz w:val="24"/>
          <w:szCs w:val="24"/>
        </w:rPr>
        <w:t>Riki</w:t>
      </w:r>
      <w:proofErr w:type="spellEnd"/>
      <w:r w:rsidRPr="00F66AD8">
        <w:rPr>
          <w:rFonts w:ascii="Times New Roman" w:hAnsi="Times New Roman" w:cs="Times New Roman"/>
          <w:sz w:val="24"/>
          <w:szCs w:val="24"/>
        </w:rPr>
        <w:t xml:space="preserve">, Joan Nestle, Clare Howell, Silvia Rivera, Susan Wright, and Gina Reiss. </w:t>
      </w:r>
      <w:proofErr w:type="spellStart"/>
      <w:r w:rsidRPr="00F66AD8">
        <w:rPr>
          <w:rFonts w:ascii="Times New Roman" w:hAnsi="Times New Roman" w:cs="Times New Roman"/>
          <w:i/>
          <w:iCs/>
          <w:sz w:val="24"/>
          <w:szCs w:val="24"/>
        </w:rPr>
        <w:t>GenderQueer</w:t>
      </w:r>
      <w:proofErr w:type="spellEnd"/>
      <w:r w:rsidRPr="00F66AD8">
        <w:rPr>
          <w:rFonts w:ascii="Times New Roman" w:hAnsi="Times New Roman" w:cs="Times New Roman"/>
          <w:i/>
          <w:iCs/>
          <w:sz w:val="24"/>
          <w:szCs w:val="24"/>
        </w:rPr>
        <w:t>-Voices from Beyond the Sexual Binary</w:t>
      </w:r>
      <w:r w:rsidRPr="00F66AD8">
        <w:rPr>
          <w:rFonts w:ascii="Times New Roman" w:hAnsi="Times New Roman" w:cs="Times New Roman"/>
          <w:sz w:val="24"/>
          <w:szCs w:val="24"/>
        </w:rPr>
        <w:t>. Riverdale Avenue Books LLC, 2020.</w:t>
      </w:r>
    </w:p>
    <w:p w14:paraId="00000057" w14:textId="6D32F64F" w:rsidR="00B55937" w:rsidRDefault="00B175E2" w:rsidP="00CE2E71">
      <w:pPr>
        <w:shd w:val="clear" w:color="auto" w:fill="FFFFFF"/>
        <w:spacing w:line="480" w:lineRule="auto"/>
        <w:contextualSpacing/>
        <w:rPr>
          <w:rFonts w:ascii="Times New Roman" w:eastAsia="Times New Roman" w:hAnsi="Times New Roman" w:cs="Times New Roman"/>
          <w:sz w:val="24"/>
          <w:szCs w:val="24"/>
        </w:rPr>
      </w:pPr>
      <w:r w:rsidRPr="00F66AD8">
        <w:rPr>
          <w:rFonts w:ascii="Times New Roman" w:eastAsia="Times New Roman" w:hAnsi="Times New Roman" w:cs="Times New Roman"/>
          <w:sz w:val="24"/>
          <w:szCs w:val="24"/>
        </w:rPr>
        <w:lastRenderedPageBreak/>
        <w:fldChar w:fldCharType="end"/>
      </w:r>
    </w:p>
    <w:p w14:paraId="00000058"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9"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A"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B"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C"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D"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E"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F"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0"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1"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2"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3"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4"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5"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6"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7"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8"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9"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A"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B"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C"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D"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E"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F"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0"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1"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2"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3"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4"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5"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6"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7"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8"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9"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A"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B"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C"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89" w14:textId="530F7A68" w:rsidR="00B55937" w:rsidRDefault="00B55937">
      <w:pPr>
        <w:shd w:val="clear" w:color="auto" w:fill="FFFFFF"/>
        <w:spacing w:after="200" w:line="240" w:lineRule="auto"/>
        <w:ind w:firstLine="720"/>
        <w:rPr>
          <w:rFonts w:ascii="Times New Roman" w:eastAsia="Times New Roman" w:hAnsi="Times New Roman" w:cs="Times New Roman"/>
          <w:sz w:val="24"/>
          <w:szCs w:val="24"/>
        </w:rPr>
      </w:pPr>
    </w:p>
    <w:sectPr w:rsidR="00B55937">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2FA93" w14:textId="77777777" w:rsidR="00020371" w:rsidRDefault="00020371">
      <w:pPr>
        <w:spacing w:line="240" w:lineRule="auto"/>
      </w:pPr>
      <w:r>
        <w:separator/>
      </w:r>
    </w:p>
  </w:endnote>
  <w:endnote w:type="continuationSeparator" w:id="0">
    <w:p w14:paraId="2D8A9338" w14:textId="77777777" w:rsidR="00020371" w:rsidRDefault="000203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8" w14:textId="3190576D" w:rsidR="00B55937" w:rsidRDefault="00000000">
    <w:pPr>
      <w:jc w:val="right"/>
    </w:pPr>
    <w:r>
      <w:fldChar w:fldCharType="begin"/>
    </w:r>
    <w:r>
      <w:instrText>PAGE</w:instrText>
    </w:r>
    <w:r>
      <w:fldChar w:fldCharType="separate"/>
    </w:r>
    <w:r w:rsidR="00B175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A600B" w14:textId="77777777" w:rsidR="00020371" w:rsidRDefault="00020371">
      <w:pPr>
        <w:spacing w:line="240" w:lineRule="auto"/>
      </w:pPr>
      <w:r>
        <w:separator/>
      </w:r>
    </w:p>
  </w:footnote>
  <w:footnote w:type="continuationSeparator" w:id="0">
    <w:p w14:paraId="2C1D868B" w14:textId="77777777" w:rsidR="00020371" w:rsidRDefault="00020371">
      <w:pPr>
        <w:spacing w:line="240" w:lineRule="auto"/>
      </w:pPr>
      <w:r>
        <w:continuationSeparator/>
      </w:r>
    </w:p>
  </w:footnote>
  <w:footnote w:id="1">
    <w:p w14:paraId="0000008A"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 “We Are All Nonbinary.”</w:t>
      </w:r>
    </w:p>
  </w:footnote>
  <w:footnote w:id="2">
    <w:p w14:paraId="0000008B"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w:t>
      </w:r>
    </w:p>
  </w:footnote>
  <w:footnote w:id="3">
    <w:p w14:paraId="0000008C"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 “We Are All Nonbinary.”</w:t>
      </w:r>
    </w:p>
  </w:footnote>
  <w:footnote w:id="4">
    <w:p w14:paraId="0000008D"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w:t>
      </w:r>
    </w:p>
  </w:footnote>
  <w:footnote w:id="5">
    <w:p w14:paraId="0000008E"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w:t>
      </w:r>
    </w:p>
  </w:footnote>
  <w:footnote w:id="6">
    <w:p w14:paraId="0000008F"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w:t>
      </w:r>
    </w:p>
  </w:footnote>
  <w:footnote w:id="7">
    <w:p w14:paraId="00000090"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“The Trevor Project National Survey.”</w:t>
      </w:r>
    </w:p>
  </w:footnote>
  <w:footnote w:id="8">
    <w:p w14:paraId="00000091"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w:t>
      </w:r>
      <w:r>
        <w:rPr>
          <w:rFonts w:ascii="Times New Roman" w:eastAsia="Times New Roman" w:hAnsi="Times New Roman" w:cs="Times New Roman"/>
          <w:color w:val="000000"/>
          <w:sz w:val="24"/>
          <w:szCs w:val="24"/>
        </w:rPr>
        <w:t xml:space="preserve">Butler, </w:t>
      </w:r>
      <w:r>
        <w:rPr>
          <w:rFonts w:ascii="Times New Roman" w:eastAsia="Times New Roman" w:hAnsi="Times New Roman" w:cs="Times New Roman"/>
          <w:i/>
          <w:color w:val="000000"/>
          <w:sz w:val="24"/>
          <w:szCs w:val="24"/>
        </w:rPr>
        <w:t>Gender Trouble</w:t>
      </w:r>
      <w:r>
        <w:rPr>
          <w:rFonts w:ascii="Times New Roman" w:eastAsia="Times New Roman" w:hAnsi="Times New Roman" w:cs="Times New Roman"/>
          <w:color w:val="000000"/>
          <w:sz w:val="24"/>
          <w:szCs w:val="24"/>
        </w:rPr>
        <w:t>.</w:t>
      </w:r>
    </w:p>
  </w:footnote>
  <w:footnote w:id="9">
    <w:p w14:paraId="00000092"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2022 Florida Parental Rights in Education Act.</w:t>
      </w:r>
    </w:p>
  </w:footnote>
  <w:footnote w:id="10">
    <w:p w14:paraId="00000093" w14:textId="77777777" w:rsidR="00B55937" w:rsidRDefault="00000000">
      <w:pPr>
        <w:spacing w:line="240" w:lineRule="auto"/>
        <w:rPr>
          <w:sz w:val="20"/>
          <w:szCs w:val="20"/>
        </w:rPr>
      </w:pPr>
      <w:r>
        <w:rPr>
          <w:rStyle w:val="FootnoteReference"/>
        </w:rPr>
        <w:footnoteRef/>
      </w:r>
      <w:r>
        <w:rPr>
          <w:sz w:val="20"/>
          <w:szCs w:val="20"/>
        </w:rPr>
        <w:t xml:space="preserve"> Amin.</w:t>
      </w:r>
    </w:p>
  </w:footnote>
  <w:footnote w:id="11">
    <w:p w14:paraId="00000094" w14:textId="77777777" w:rsidR="00B55937" w:rsidRDefault="00000000">
      <w:pPr>
        <w:spacing w:line="240" w:lineRule="auto"/>
        <w:rPr>
          <w:sz w:val="20"/>
          <w:szCs w:val="20"/>
        </w:rPr>
      </w:pPr>
      <w:r>
        <w:rPr>
          <w:rStyle w:val="FootnoteReference"/>
        </w:rPr>
        <w:footnoteRef/>
      </w:r>
      <w:r>
        <w:rPr>
          <w:sz w:val="20"/>
          <w:szCs w:val="20"/>
        </w:rPr>
        <w:t xml:space="preserve"> Amin.</w:t>
      </w:r>
    </w:p>
  </w:footnote>
  <w:footnote w:id="12">
    <w:p w14:paraId="00000095"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 “We Are All Nonbinary.”</w:t>
      </w:r>
    </w:p>
  </w:footnote>
  <w:footnote w:id="13">
    <w:p w14:paraId="00000096"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 113.</w:t>
      </w:r>
    </w:p>
  </w:footnote>
  <w:footnote w:id="14">
    <w:p w14:paraId="61865DCC" w14:textId="1FA49A26" w:rsidR="00F66AD8" w:rsidRPr="00F66AD8" w:rsidRDefault="00F66AD8">
      <w:pPr>
        <w:pStyle w:val="FootnoteText"/>
        <w:rPr>
          <w:lang w:val="en-US"/>
        </w:rPr>
      </w:pPr>
      <w:r>
        <w:rPr>
          <w:rStyle w:val="FootnoteReference"/>
        </w:rPr>
        <w:footnoteRef/>
      </w:r>
      <w:r>
        <w:t xml:space="preserve"> </w:t>
      </w:r>
      <w:r>
        <w:fldChar w:fldCharType="begin"/>
      </w:r>
      <w:r>
        <w:instrText xml:space="preserve"> ADDIN ZOTERO_ITEM CSL_CITATION {"citationID":"SueAFsHg","properties":{"formattedCitation":"Wilchins et al., {\\i{}GenderQueer-Voices from Beyond the Sexual Binary}.","plainCitation":"Wilchins et al., GenderQueer-Voices from Beyond the Sexual Binary.","noteIndex":14},"citationItems":[{"id":100,"uris":["http://zotero.org/users/9920863/items/D3UXB8WH"],"itemData":{"id":100,"type":"book","abstract":"When GenderQueer was first published in 2002, it was groundbreaking, even inventing a new word for those whose voices had been hidden behind the walls of the gender binary. Now—finally!—it&amp;#39;s republished, and those voices are still fresh and compelling in a volume that can take its place as one of the field&amp;#39;s early and most original &amp;quot;classics.&amp;quot; Michael KimmelSUNY Distinguished Professor of Sociology and Gender StudiesStony Brook University (retired) Perhaps more than any other issue, gender identity has galvanized the queer community in recent years. The questions go beyond the nature of male/female to a yet-to-be-traversed region that lies somewhere between and beyond biologically determined gender. In this groundbreaking anthology, first published nearly two decades ago, three experts in gender studies and politics navigate around rigid, societally imposed concepts of two genders to discover and illuminate the limitless possibilities of identity. Thirty first-person accounts of gender construction, exploration, and questioning provide the groundwork for cultural discussion, political action, and even greater possibilities of autonomous gender choices.Joan Nestle is the cofounder of the Lesbian Herstory Archives in New York and the writer and editor of six books including the groundbreaking Women on Women series. Riki Wilchins is the executive director of GenderPAC, the national gender advocacy group, and the cofounder of the Gender Identity Project of New York City&amp;#39;s Lesbian and Gay Center. She is the author of Read My Lips: Sexual Subversion and the End of Gender, Gender Theory, Burn the Binary and TransGRESSIVE.  Clare Howell is a senior librarian at the Brooklyn Public Library.","ISBN":"978-1-62601-564-7","language":"en","note":"Google-Books-ID: kfr2DwAAQBAJ","number-of-pages":"302","publisher":"Riverdale Avenue Books LLC","source":"Google Books","title":"GenderQueer-Voices from Beyond the Sexual Binary","author":[{"family":"Wilchins","given":"Riki"},{"family":"Nestle","given":"Joan"},{"family":"Howell","given":"Clare"},{"family":"Rivera","given":"Silvia"},{"family":"Wright","given":"Susan"},{"family":"Reiss","given":"Gina"}],"issued":{"date-parts":[["2020",8,12]]}}}],"schema":"https://github.com/citation-style-language/schema/raw/master/csl-citation.json"} </w:instrText>
      </w:r>
      <w:r>
        <w:fldChar w:fldCharType="separate"/>
      </w:r>
      <w:proofErr w:type="spellStart"/>
      <w:r w:rsidRPr="00F66AD8">
        <w:rPr>
          <w:szCs w:val="24"/>
        </w:rPr>
        <w:t>Wilchins</w:t>
      </w:r>
      <w:proofErr w:type="spellEnd"/>
      <w:r w:rsidRPr="00F66AD8">
        <w:rPr>
          <w:szCs w:val="24"/>
        </w:rPr>
        <w:t xml:space="preserve"> et al., </w:t>
      </w:r>
      <w:proofErr w:type="spellStart"/>
      <w:r w:rsidRPr="00F66AD8">
        <w:rPr>
          <w:i/>
          <w:iCs/>
          <w:szCs w:val="24"/>
        </w:rPr>
        <w:t>GenderQueer</w:t>
      </w:r>
      <w:proofErr w:type="spellEnd"/>
      <w:r w:rsidRPr="00F66AD8">
        <w:rPr>
          <w:i/>
          <w:iCs/>
          <w:szCs w:val="24"/>
        </w:rPr>
        <w:t>-Voices from Beyond the Sexual Binary</w:t>
      </w:r>
      <w:r w:rsidRPr="00F66AD8">
        <w:rPr>
          <w:szCs w:val="24"/>
        </w:rPr>
        <w:t>.</w:t>
      </w:r>
      <w:r>
        <w:fldChar w:fldCharType="end"/>
      </w:r>
    </w:p>
  </w:footnote>
  <w:footnote w:id="15">
    <w:p w14:paraId="24D81C67" w14:textId="29E4B5FA" w:rsidR="00B175E2" w:rsidRPr="00B175E2" w:rsidRDefault="00B175E2">
      <w:pPr>
        <w:pStyle w:val="FootnoteText"/>
        <w:rPr>
          <w:lang w:val="en-US"/>
        </w:rPr>
      </w:pPr>
      <w:r>
        <w:rPr>
          <w:rStyle w:val="FootnoteReference"/>
        </w:rPr>
        <w:footnoteRef/>
      </w:r>
      <w:r>
        <w:t xml:space="preserve"> </w:t>
      </w:r>
      <w:r>
        <w:fldChar w:fldCharType="begin"/>
      </w:r>
      <w:r>
        <w:instrText xml:space="preserve"> ADDIN ZOTERO_ITEM CSL_CITATION {"citationID":"dTPfQy50","properties":{"formattedCitation":"Byron et al., \\uc0\\u8220{}\\uc0\\u8216{}Hey, I\\uc0\\u8217{}m Having These Experiences.\\uc0\\u8217{}\\uc0\\u8221{}","plainCitation":"Byron et al., “‘Hey, I’m Having These Experiences.’”","noteIndex":15},"citationItems":[{"id":173,"uris":["http://zotero.org/users/9920863/items/6MJPUBMV"],"itemData":{"id":173,"type":"article-journal","abstract":"This article explores LGBTIQ+ young people’s use of Tumblr—a social media platform often associated with queer youth cultures. Drawing on data from surveys (N = 1,304) and interviews (N = 23) with LGBTIQ+ young people in Australia, we argue that existing notions of “queer community” through digital media participation do not neatly align with young people’s Tumblr practices. Our participants use Tumblr for connecting with others, yet these connections can be indirect, short term, and anonymous. Connections are often felt and practiced without directly communicating with other users, and many participants described their connections to the Tumblr platform itself as intense, pivotal to learning about genders and sexualities, and sometimes “toxic.” We suggest that Tumblr use intensities reflect many young people’s (dis)connections to queer life. Participant accounts of Tumblr use for identity, well-being, and (dis)connection practices can usefully inform health, education, and community workers engaging with LGBTIQ+ young people.","container-title":"International Journal of Communication","ISSN":"1932-8036","issue":"0","language":"en","license":"The  International Journal of Communication  is an academic journal. As such, it is dedicated to the open exchange of information. For this reason, IJoC is freely available to individuals and institutions. Copies of this journal or articles in this journal may be distributed for research or educational purposes free of charge and without permission. However, commercial use of the IJoC website or the articles contained herein is expressly prohibited without the written consent of the editor. Authors who publish in The  International Journal of Communication  will release their articles under the   Creative Commons Attribution Non-Commercial No Derivatives (by-nc-nd) license  . This license allows anyone to copy and distribute the article for non-commercial purposes provided that appropriate attribution is given. For details of the rights authors grants users of their work, see the  \"human-readable summary\" of the license , with a link to the full license. (Note that \"you\" refers to a user, not an author, in the summary.) This journal utilizes the  LOCKSS system to create a distributed archiving system among participating libraries and permits those libraries to create permanent archives of the journal for purposes of preservation and restoration. The publisher perpetually authorizes participants in the LOCKSS system to archive and restore our publication through the LOCKSS System for the benefit of all LOCKSS System participants. Specifically participating libraries may:  Collect and preserve currently accessible materials;  Use material consistent with original license terms;  Provide copies to other LOCKSS appliances for purposes of audit and repair.        Fair Use The U.S. Copyright Act of 1976 specifies, in Section 107, the terms of the Fair Use exception: Notwithstanding the provisions of sections 106 and 106A, the fair use of a copyrighted work, including such use by reproduction in copies or phonorecords or by any other means specified by that section, for purposes such as criticism, comment, news reporting, teaching (including multiple copies for classroom use), scholarship, or research, is not an infringement of copyright. In determining whether the use made of a work in any particular case is a fair use the factors to be considered shall include:  the purpose and character of the use, including whether such use is of a commercial nature or is for nonprofit educational purposes;  the nature of the copyrighted work;  the amount and substantiality of the portion used in relation to the copyrighted work as a whole; &amp;amp;  the effect of the use upon the potential market for or value of the copyrighted work.   The fact that a work is unpublished shall not itself bar a finding of fair use if such finding is made upon consideration of all the above factors. In accord with these provisions, the  International Journal of Communication  believes in the vigorous assertion and defense of Fair Use by scholars engaged in academic research, teaching and non-commercial publishing. Thus, we view the inclusion of “quotations” from existing print, visual, audio and audio-visual texts to be appropriate examples of Fair Use, as are reproductions of visual images for the purpose of scholarly analysis. We encourage authors to obtain appropriate permissions to use materials originally produced by others, but do not require such permissions as long as the usage of such materials falls within the boundaries of Fair Use.  The  International Journal of Communication  encourages authors to employ fair use in their scholarly publishing wherever appropriate. Fair use is the right to use unlicensed copyrighted material (whether it is text, images, audio-visual, or other) in your own work, in some circumstances. We consult the  Code of Best Practices in Fair Use for Scholarly Research in Communication , created by the International Communication Association and endorsed by the National Communication Association, and you should too. If you have any questions about whether fair use applies to your uses of copyrighted material (whether it is text, images, audio-visual, or other) in your scholarship, simply include your rationale, grounded in the Best Practices, as a supplementary document with your submission.","note":"number: 0","page":"20","source":"ijoc.org","title":"“Hey, I’m Having These Experiences”: Tumblr Use and Young People’s Queer (Dis)connections","title-short":"“Hey, I’m Having These Experiences”","volume":"13","author":[{"family":"Byron","given":"Paul"},{"family":"Robards","given":"Brady"},{"family":"Hanckel","given":"Benjamin"},{"family":"Vivienne","given":"Son"},{"family":"Churchill","given":"Brendan"}],"issued":{"date-parts":[["2019",5,14]]}}}],"schema":"https://github.com/citation-style-language/schema/raw/master/csl-citation.json"} </w:instrText>
      </w:r>
      <w:r>
        <w:fldChar w:fldCharType="separate"/>
      </w:r>
      <w:r w:rsidRPr="00B175E2">
        <w:rPr>
          <w:szCs w:val="24"/>
        </w:rPr>
        <w:t>Byron et al., “‘Hey, I’m Having These Experiences.’”</w:t>
      </w:r>
      <w:r>
        <w:fldChar w:fldCharType="end"/>
      </w:r>
    </w:p>
  </w:footnote>
  <w:footnote w:id="16">
    <w:p w14:paraId="00000098"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Butler, </w:t>
      </w:r>
      <w:r>
        <w:rPr>
          <w:i/>
          <w:color w:val="000000"/>
          <w:sz w:val="20"/>
          <w:szCs w:val="20"/>
        </w:rPr>
        <w:t>Gender Trouble</w:t>
      </w:r>
      <w:r>
        <w:rPr>
          <w:color w:val="000000"/>
          <w:sz w:val="20"/>
          <w:szCs w:val="20"/>
        </w:rPr>
        <w:t>.</w:t>
      </w:r>
    </w:p>
  </w:footnote>
  <w:footnote w:id="17">
    <w:p w14:paraId="00000099"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Strang et al., “Increased Gender Variance in Autism Spectrum Disorders and Attention Deficit Hyperactivity Disorder.”</w:t>
      </w:r>
    </w:p>
  </w:footnote>
  <w:footnote w:id="18">
    <w:p w14:paraId="0000009A"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Strang et al.</w:t>
      </w:r>
    </w:p>
  </w:footnote>
  <w:footnote w:id="19">
    <w:p w14:paraId="0000009B" w14:textId="77777777" w:rsidR="00B55937" w:rsidRDefault="00000000">
      <w:pPr>
        <w:pBdr>
          <w:top w:val="nil"/>
          <w:left w:val="nil"/>
          <w:bottom w:val="nil"/>
          <w:right w:val="nil"/>
          <w:between w:val="nil"/>
        </w:pBdr>
        <w:spacing w:line="240" w:lineRule="auto"/>
        <w:ind w:left="720" w:hanging="720"/>
        <w:rPr>
          <w:color w:val="000000"/>
          <w:sz w:val="20"/>
          <w:szCs w:val="20"/>
        </w:rPr>
      </w:pPr>
      <w:r>
        <w:rPr>
          <w:rStyle w:val="FootnoteReference"/>
        </w:rPr>
        <w:footnoteRef/>
      </w:r>
      <w:r>
        <w:rPr>
          <w:color w:val="000000"/>
        </w:rPr>
        <w:t xml:space="preserve"> Stagg and </w:t>
      </w:r>
      <w:r>
        <w:rPr>
          <w:color w:val="000000"/>
          <w:sz w:val="20"/>
          <w:szCs w:val="20"/>
        </w:rPr>
        <w:t>Vincent, “Autistic Traits in Individuals Self-Defining as Transgender or Nonbinary.”</w:t>
      </w:r>
    </w:p>
  </w:footnote>
  <w:footnote w:id="20">
    <w:p w14:paraId="78851853" w14:textId="3B6D4110" w:rsidR="00F66AD8" w:rsidRPr="00F66AD8" w:rsidRDefault="00F66AD8">
      <w:pPr>
        <w:pStyle w:val="FootnoteText"/>
        <w:rPr>
          <w:lang w:val="en-US"/>
        </w:rPr>
      </w:pPr>
      <w:r>
        <w:rPr>
          <w:rStyle w:val="FootnoteReference"/>
        </w:rPr>
        <w:footnoteRef/>
      </w:r>
      <w:r>
        <w:t xml:space="preserve"> </w:t>
      </w:r>
      <w:r>
        <w:fldChar w:fldCharType="begin"/>
      </w:r>
      <w:r>
        <w:instrText xml:space="preserve"> ADDIN ZOTERO_ITEM CSL_CITATION {"citationID":"NxBLvrI8","properties":{"formattedCitation":"\\uc0\\u8220{}NEUROQUEER \\uc0\\u8226{} THE WRITINGS OF DR. NICK WALKER.\\uc0\\u8221{}","plainCitation":"“NEUROQUEER • THE WRITINGS OF DR. NICK WALKER.”","noteIndex":20},"citationItems":[{"id":104,"uris":["http://zotero.org/users/9920863/items/DA4YQY4R"],"itemData":{"id":104,"type":"post-weblog","abstract":"NEUROQUEER • THE WRITINGS OF DR. NICK WALKER","language":"en-US","title":"NEUROQUEER • THE WRITINGS OF DR. NICK WALKER","URL":"https://neuroqueer.com/","accessed":{"date-parts":[["2022",9,15]]}}}],"schema":"https://github.com/citation-style-language/schema/raw/master/csl-citation.json"} </w:instrText>
      </w:r>
      <w:r>
        <w:fldChar w:fldCharType="separate"/>
      </w:r>
      <w:r w:rsidRPr="00F66AD8">
        <w:rPr>
          <w:szCs w:val="24"/>
        </w:rPr>
        <w:t>“NEUROQUEER • THE WRITINGS OF DR. NICK WALKER.”</w:t>
      </w:r>
      <w:r>
        <w:fldChar w:fldCharType="end"/>
      </w:r>
    </w:p>
  </w:footnote>
  <w:footnote w:id="21">
    <w:p w14:paraId="0000009D"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 “We Are All Nonbinary.”</w:t>
      </w:r>
    </w:p>
  </w:footnote>
  <w:footnote w:id="22">
    <w:p w14:paraId="0000009E"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w:t>
      </w:r>
    </w:p>
  </w:footnote>
  <w:footnote w:id="23">
    <w:p w14:paraId="1BB4D8CF" w14:textId="6DCB61BC" w:rsidR="00B175E2" w:rsidRPr="00B175E2" w:rsidRDefault="00B175E2">
      <w:pPr>
        <w:pStyle w:val="FootnoteText"/>
        <w:rPr>
          <w:lang w:val="en-US"/>
        </w:rPr>
      </w:pPr>
      <w:r>
        <w:rPr>
          <w:rStyle w:val="FootnoteReference"/>
        </w:rPr>
        <w:footnoteRef/>
      </w:r>
      <w:r>
        <w:t xml:space="preserve"> </w:t>
      </w:r>
      <w:r>
        <w:fldChar w:fldCharType="begin"/>
      </w:r>
      <w:r w:rsidR="00F66AD8">
        <w:instrText xml:space="preserve"> ADDIN ZOTERO_ITEM CSL_CITATION {"citationID":"7hzL8Ctv","properties":{"formattedCitation":"Mohanty, {\\i{}Feminism without Borders: Decolonizing Theory, Practicing Solidarity}.","plainCitation":"Mohanty, Feminism without Borders: Decolonizing Theory, Practicing Solidarity.","noteIndex":24},"citationItems":[{"id":11,"uris":["http://zotero.org/users/9920863/items/FIZGRM5I"],"itemData":{"id":11,"type":"book","number-of-pages":"312","publisher":"Duke University Press","title":"Feminism without Borders: Decolonizing Theory, Practicing Solidarity","author":[{"family":"Mohanty","given":"Chandra Talpade"}],"issued":{"date-parts":[["2003"]]}}}],"schema":"https://github.com/citation-style-language/schema/raw/master/csl-citation.json"} </w:instrText>
      </w:r>
      <w:r>
        <w:fldChar w:fldCharType="separate"/>
      </w:r>
      <w:r w:rsidR="00F66AD8" w:rsidRPr="00F66AD8">
        <w:rPr>
          <w:szCs w:val="24"/>
        </w:rPr>
        <w:t xml:space="preserve">Mohanty, </w:t>
      </w:r>
      <w:r w:rsidR="00F66AD8" w:rsidRPr="00F66AD8">
        <w:rPr>
          <w:i/>
          <w:iCs/>
          <w:szCs w:val="24"/>
        </w:rPr>
        <w:t>Feminism without Borders: Decolonizing Theory, Practicing Solidarity</w:t>
      </w:r>
      <w:r w:rsidR="00F66AD8" w:rsidRPr="00F66AD8">
        <w:rPr>
          <w:szCs w:val="24"/>
        </w:rPr>
        <w:t>.</w:t>
      </w:r>
      <w:r>
        <w:fldChar w:fldCharType="end"/>
      </w:r>
    </w:p>
  </w:footnote>
  <w:footnote w:id="24">
    <w:p w14:paraId="000000A0"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“The Trevor Project National Survey.”</w:t>
      </w:r>
    </w:p>
  </w:footnote>
  <w:footnote w:id="25">
    <w:p w14:paraId="000000A1"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“The Trevor Project National Survey.”</w:t>
      </w:r>
    </w:p>
  </w:footnote>
  <w:footnote w:id="26">
    <w:p w14:paraId="000000A2"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“The Trevor Project National Survey.”</w:t>
      </w:r>
    </w:p>
  </w:footnote>
  <w:footnote w:id="27">
    <w:p w14:paraId="000000A3"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w:t>
      </w:r>
      <w:r>
        <w:rPr>
          <w:rFonts w:ascii="Times New Roman" w:eastAsia="Times New Roman" w:hAnsi="Times New Roman" w:cs="Times New Roman"/>
          <w:color w:val="000000"/>
          <w:sz w:val="24"/>
          <w:szCs w:val="24"/>
        </w:rPr>
        <w:t>“The Trevor Project National Survey.”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4" w14:textId="77777777" w:rsidR="00B55937" w:rsidRDefault="00000000">
    <w:pPr>
      <w:rPr>
        <w:rFonts w:ascii="Times New Roman" w:eastAsia="Times New Roman" w:hAnsi="Times New Roman" w:cs="Times New Roman"/>
      </w:rPr>
    </w:pPr>
    <w:r>
      <w:rPr>
        <w:rFonts w:ascii="Times New Roman" w:eastAsia="Times New Roman" w:hAnsi="Times New Roman" w:cs="Times New Roman"/>
      </w:rPr>
      <w:t>Vee Kennedy</w:t>
    </w:r>
  </w:p>
  <w:p w14:paraId="000000A5" w14:textId="77777777" w:rsidR="00B55937" w:rsidRDefault="00000000">
    <w:pPr>
      <w:rPr>
        <w:rFonts w:ascii="Times New Roman" w:eastAsia="Times New Roman" w:hAnsi="Times New Roman" w:cs="Times New Roman"/>
      </w:rPr>
    </w:pPr>
    <w:r>
      <w:rPr>
        <w:rFonts w:ascii="Times New Roman" w:eastAsia="Times New Roman" w:hAnsi="Times New Roman" w:cs="Times New Roman"/>
      </w:rPr>
      <w:t>9/18/2022</w:t>
    </w:r>
  </w:p>
  <w:p w14:paraId="000000A6" w14:textId="77777777" w:rsidR="00B55937" w:rsidRDefault="00000000">
    <w:pPr>
      <w:rPr>
        <w:rFonts w:ascii="Times New Roman" w:eastAsia="Times New Roman" w:hAnsi="Times New Roman" w:cs="Times New Roman"/>
      </w:rPr>
    </w:pPr>
    <w:r>
      <w:rPr>
        <w:rFonts w:ascii="Times New Roman" w:eastAsia="Times New Roman" w:hAnsi="Times New Roman" w:cs="Times New Roman"/>
      </w:rPr>
      <w:t xml:space="preserve">ENC 6332 </w:t>
    </w:r>
  </w:p>
  <w:p w14:paraId="000000A7" w14:textId="77777777" w:rsidR="00B55937" w:rsidRDefault="00000000">
    <w:pPr>
      <w:rPr>
        <w:rFonts w:ascii="Times New Roman" w:eastAsia="Times New Roman" w:hAnsi="Times New Roman" w:cs="Times New Roman"/>
      </w:rPr>
    </w:pPr>
    <w:r>
      <w:rPr>
        <w:rFonts w:ascii="Times New Roman" w:eastAsia="Times New Roman" w:hAnsi="Times New Roman" w:cs="Times New Roman"/>
      </w:rPr>
      <w:t>Dr. Arellano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10AF2"/>
    <w:multiLevelType w:val="multilevel"/>
    <w:tmpl w:val="0EA07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8865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937"/>
    <w:rsid w:val="00020371"/>
    <w:rsid w:val="00B175E2"/>
    <w:rsid w:val="00B55937"/>
    <w:rsid w:val="00CE2E71"/>
    <w:rsid w:val="00F66A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FEC7"/>
  <w15:docId w15:val="{AB8DF3F1-2354-48BA-965F-24056AEBF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ibliography">
    <w:name w:val="Bibliography"/>
    <w:basedOn w:val="Normal"/>
    <w:next w:val="Normal"/>
    <w:uiPriority w:val="37"/>
    <w:unhideWhenUsed/>
    <w:rsid w:val="000A02AB"/>
    <w:pPr>
      <w:spacing w:line="240" w:lineRule="auto"/>
      <w:ind w:left="720" w:hanging="720"/>
    </w:pPr>
  </w:style>
  <w:style w:type="character" w:customStyle="1" w:styleId="bold">
    <w:name w:val="bold"/>
    <w:basedOn w:val="DefaultParagraphFont"/>
    <w:rsid w:val="00E317D4"/>
  </w:style>
  <w:style w:type="character" w:customStyle="1" w:styleId="Normal1">
    <w:name w:val="Normal1"/>
    <w:basedOn w:val="DefaultParagraphFont"/>
    <w:rsid w:val="00E317D4"/>
  </w:style>
  <w:style w:type="paragraph" w:styleId="NormalWeb">
    <w:name w:val="Normal (Web)"/>
    <w:basedOn w:val="Normal"/>
    <w:uiPriority w:val="99"/>
    <w:semiHidden/>
    <w:unhideWhenUsed/>
    <w:rsid w:val="009848C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683364"/>
    <w:pPr>
      <w:spacing w:line="240" w:lineRule="auto"/>
    </w:pPr>
    <w:rPr>
      <w:sz w:val="20"/>
      <w:szCs w:val="20"/>
    </w:rPr>
  </w:style>
  <w:style w:type="character" w:customStyle="1" w:styleId="FootnoteTextChar">
    <w:name w:val="Footnote Text Char"/>
    <w:basedOn w:val="DefaultParagraphFont"/>
    <w:link w:val="FootnoteText"/>
    <w:uiPriority w:val="99"/>
    <w:semiHidden/>
    <w:rsid w:val="00683364"/>
    <w:rPr>
      <w:sz w:val="20"/>
      <w:szCs w:val="20"/>
    </w:rPr>
  </w:style>
  <w:style w:type="character" w:styleId="FootnoteReference">
    <w:name w:val="footnote reference"/>
    <w:basedOn w:val="DefaultParagraphFont"/>
    <w:uiPriority w:val="99"/>
    <w:semiHidden/>
    <w:unhideWhenUsed/>
    <w:rsid w:val="006833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P8q87VIQvBQS7nWIbULNehYPpg==">AMUW2mXf4NSrmnzt4pUz/cnD0vWczH4SFay8qhdIjRli4Z4laPdHvf44IunnnHGiOOnPO9gzIOuUkn/5tavmXxCBPAWxsUtLY2tEy3NIpcFHnQIYj2GbCHk=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4218</Words>
  <Characters>24046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dc:creator>
  <cp:lastModifiedBy>Vee Kennedy</cp:lastModifiedBy>
  <cp:revision>2</cp:revision>
  <dcterms:created xsi:type="dcterms:W3CDTF">2022-09-24T02:35:00Z</dcterms:created>
  <dcterms:modified xsi:type="dcterms:W3CDTF">2022-09-24T02:35:00Z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zotero-version="6.0.13"&gt;&lt;session id="0dbgDbpk"/&gt;&lt;style id="http://www.zotero.org/styles/chicago-note-bibliography" locale="en-US" hasBibliography="1" bibliographyStyleHasBeenSet="1"/&gt;&lt;prefs&gt;&lt;pref name="fieldType" value="Field"/&gt;&lt;pre</vt:lpwstr>
  </property>
  <property fmtid="{D5CDD505-2E9C-101B-9397-08002B2CF9AE}" pid="3" name="ZOTERO_PREF_2">
    <vt:lpwstr>f name="noteType" value="1"/&gt;&lt;/prefs&gt;&lt;/data&gt;</vt:lpwstr>
  </property>
</Properties>
</file>