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Response to Amin’s claim that nonbinary is an identity that has no ‘positive social work’ </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Argue instead that instead of nonbinary being a category with no positive social work, we instead save claims for a lack of positive social work to those identities which are created as normatives to embody false dichotomies that don’t exist: cisgender, heterosexual. </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Argue that there is always positive social work in naming something that does not have a name and that leads individuals to feel they have improperly ‘performed’ a gender</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Response to Amin’s claim that no one is kicked out of their home for being nonbinary in identity alone </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Counterclaim: This logic seems impossible to connect because if we are to completely separate identity from practice then, technically, it could be argued that no one of any identity, trans, cis, or nonbinary, is kicked out for their gender identity alone -- and yet we know that plenty of LGBT people, especially children, are kicked out for identity alone, long before they ever have the opportunity to socially transition. This also applies to the matter of sexual orientation. LGBT teenagers do not need to do anything remotely homo</w:t>
      </w:r>
      <w:r w:rsidDel="00000000" w:rsidR="00000000" w:rsidRPr="00000000">
        <w:rPr>
          <w:i w:val="1"/>
          <w:rtl w:val="0"/>
        </w:rPr>
        <w:t xml:space="preserve">sexual i</w:t>
      </w:r>
      <w:r w:rsidDel="00000000" w:rsidR="00000000" w:rsidRPr="00000000">
        <w:rPr>
          <w:rtl w:val="0"/>
        </w:rPr>
        <w:t xml:space="preserve">n nature. It’s not as if straight parents across the nation and the planet are walking in on gay teenagers having gay sex and kicking them out for this relevant sexual behavior, no, they are often kicking them out or ostrasizing them when they come out or are outed, regardless wether they are sexually active -- regardless of if they are engaging in homosexual or social behavior -- or not.  </w:t>
      </w:r>
    </w:p>
    <w:p w:rsidR="00000000" w:rsidDel="00000000" w:rsidP="00000000" w:rsidRDefault="00000000" w:rsidRPr="00000000" w14:paraId="00000006">
      <w:pPr>
        <w:ind w:left="1440" w:firstLine="0"/>
        <w:rPr/>
      </w:pPr>
      <w:r w:rsidDel="00000000" w:rsidR="00000000" w:rsidRPr="00000000">
        <w:rPr>
          <w:rtl w:val="0"/>
        </w:rPr>
        <w:t xml:space="preserve"> </w:t>
      </w:r>
    </w:p>
    <w:p w:rsidR="00000000" w:rsidDel="00000000" w:rsidP="00000000" w:rsidRDefault="00000000" w:rsidRPr="00000000" w14:paraId="00000007">
      <w:pPr>
        <w:ind w:left="0" w:firstLine="0"/>
        <w:rPr>
          <w:i w:val="1"/>
        </w:rPr>
      </w:pPr>
      <w:r w:rsidDel="00000000" w:rsidR="00000000" w:rsidRPr="00000000">
        <w:rPr>
          <w:i w:val="1"/>
          <w:rtl w:val="0"/>
        </w:rPr>
        <w:t xml:space="preserve">Nonbinary identity as positive social work, autoethnography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ab/>
        <w:t xml:space="preserve">The nature of my existence is one of embodied discomfort temporarily ameliorated by a variety of sensory quick fixes. I am, again, unable to discern where one other ends and another begins, whether these discomforts are a product of autism or another idiosyncrasy or a product of the nonbinary experience, but I can tell you that these discomforts do blend into my gender performance as a result of their impact on my embodied experiences. I am told that much of the sensory discomforts are a product of autism. There are other AFAB enbies in the world who can bind their chests and wear pantsuits, creating a ‘look’ that embraces an androgynous performance. Though I am skeptical of the claim that any nonbinary person of any sex assigned at birth owes anyone else a performance of androgny, I cannot participate in this performance in most of the meaningful, common ways, even if I would like to. My existence is perhaps a bit more carefully curated than many.   </w:t>
      </w:r>
    </w:p>
    <w:p w:rsidR="00000000" w:rsidDel="00000000" w:rsidP="00000000" w:rsidRDefault="00000000" w:rsidRPr="00000000" w14:paraId="0000000A">
      <w:pPr>
        <w:ind w:left="0" w:firstLine="720"/>
        <w:rPr/>
      </w:pPr>
      <w:r w:rsidDel="00000000" w:rsidR="00000000" w:rsidRPr="00000000">
        <w:rPr>
          <w:rtl w:val="0"/>
        </w:rPr>
        <w:t xml:space="preserve">My wardrobe consists primarily of loose-fitting dresses and leggings selected for the sensory appeal of their materials and making: tagless or with each tag carefully cropped, without particularly obtrusive seams, typically synthetic fibers. I wear the same pair of crocs sandals in six different colors for approximately ten months of the year. They aren’t ideal, but they can be mistaken for professional--fashionable, even--within my spaces of the academy, and being that they are backless and loose-fitting, don’t cause sensory overload. Then there are the sunglasses, usually perched atop my head when not in use, and the noise-canceling  headphones. These are to reduce overstimulation. Do I like these items? Not particularly. Do they represent an idea of gender that I hope to convey? Certainly not. They are comforting. The performance of this attire is about making it through public spaces while being able to mask in a way that is most comfortable for myself and for the neurotypicals around me, things I must do in conjunction with a carefully curated regime of prescription medications, narrow social interaction windows, and scheduled time for stims and isolated recovery in order to behave in the least autistic way possible whenever I engage in social interactions. </w:t>
      </w:r>
    </w:p>
    <w:p w:rsidR="00000000" w:rsidDel="00000000" w:rsidP="00000000" w:rsidRDefault="00000000" w:rsidRPr="00000000" w14:paraId="0000000B">
      <w:pPr>
        <w:ind w:left="0" w:firstLine="720"/>
        <w:rPr/>
      </w:pPr>
      <w:r w:rsidDel="00000000" w:rsidR="00000000" w:rsidRPr="00000000">
        <w:rPr>
          <w:rtl w:val="0"/>
        </w:rPr>
        <w:t xml:space="preserve">There is are additional identifers that may apply to people like me, perhaps one that Amin would be less troubled by than nonbinary--</w:t>
      </w:r>
      <w:r w:rsidDel="00000000" w:rsidR="00000000" w:rsidRPr="00000000">
        <w:rPr>
          <w:i w:val="1"/>
          <w:rtl w:val="0"/>
        </w:rPr>
        <w:t xml:space="preserve">autigender</w:t>
      </w:r>
      <w:r w:rsidDel="00000000" w:rsidR="00000000" w:rsidRPr="00000000">
        <w:rPr>
          <w:rtl w:val="0"/>
        </w:rPr>
        <w:t xml:space="preserve">. Autigender is a term of unclear origin that has circulated the internet in recent years. It reflects an autistic person’s relationship to gender given that, as gender is a socialized construct and autism is a neurodevelopmental difference characterized by differences in the acquisition and performance of social skills, autistic people commonly have extremely complicated relationships with gender. Another term, </w:t>
      </w:r>
      <w:r w:rsidDel="00000000" w:rsidR="00000000" w:rsidRPr="00000000">
        <w:rPr>
          <w:i w:val="1"/>
          <w:rtl w:val="0"/>
        </w:rPr>
        <w:t xml:space="preserve">neuroqueer</w:t>
      </w:r>
      <w:r w:rsidDel="00000000" w:rsidR="00000000" w:rsidRPr="00000000">
        <w:rPr>
          <w:rtl w:val="0"/>
        </w:rPr>
        <w:t xml:space="preserve">, coined by Nick Walker in 2008, does similar rhetorical work. I have never openly self-identified with either of these terms or been referred to as such. I could use either of these terms accurately and comfortably to describe my identity, and would be happy to be identified as such by other people in many contexts. However, autigender is a particularly complicated label for two reasons: first, it is an extremely uncommon, hyper-specific identity only for autistic people that is arguably much more uncommon than </w:t>
      </w:r>
      <w:r w:rsidDel="00000000" w:rsidR="00000000" w:rsidRPr="00000000">
        <w:rPr>
          <w:i w:val="1"/>
          <w:rtl w:val="0"/>
        </w:rPr>
        <w:t xml:space="preserve">genderqueer</w:t>
      </w:r>
      <w:r w:rsidDel="00000000" w:rsidR="00000000" w:rsidRPr="00000000">
        <w:rPr>
          <w:rtl w:val="0"/>
        </w:rPr>
        <w:t xml:space="preserve"> was in the early 2000s even despite its circulation on social media. Second, calling myself autigender also inherently outs me as autistic with each and every usage. While I am typically quite open about my being on the spectrum, this detail is not something that I--or other queer autistics--can or want to openly share in all spheres of our lives.</w:t>
      </w:r>
    </w:p>
    <w:p w:rsidR="00000000" w:rsidDel="00000000" w:rsidP="00000000" w:rsidRDefault="00000000" w:rsidRPr="00000000" w14:paraId="0000000C">
      <w:pPr>
        <w:ind w:left="0" w:firstLine="720"/>
        <w:rPr/>
      </w:pPr>
      <w:r w:rsidDel="00000000" w:rsidR="00000000" w:rsidRPr="00000000">
        <w:rPr>
          <w:rtl w:val="0"/>
        </w:rPr>
        <w:t xml:space="preserve"> Many today embrace autism as an identity, a social difference, but autism is itself inherently stigmatized, and we are as autistics, often grossly misunderstood or infantilized. This is, perhaps, another example I present of the positive social work of nonbinary. Nonbinary as a term may be a large umbrella, however, by electing to use nonbinary instead of autigender, I save myself the difficulty of having to out myself in contexts where it would not be wise to, and also, provide the persons I am speaking with with a concept that is perhaps more accessible to them.  </w:t>
      </w:r>
    </w:p>
    <w:p w:rsidR="00000000" w:rsidDel="00000000" w:rsidP="00000000" w:rsidRDefault="00000000" w:rsidRPr="00000000" w14:paraId="0000000D">
      <w:pPr>
        <w:ind w:left="0" w:firstLine="720"/>
        <w:rPr/>
      </w:pPr>
      <w:r w:rsidDel="00000000" w:rsidR="00000000" w:rsidRPr="00000000">
        <w:rPr>
          <w:rtl w:val="0"/>
        </w:rPr>
      </w:r>
    </w:p>
    <w:p w:rsidR="00000000" w:rsidDel="00000000" w:rsidP="00000000" w:rsidRDefault="00000000" w:rsidRPr="00000000" w14:paraId="0000000E">
      <w:pPr>
        <w:ind w:left="0" w:firstLine="720"/>
        <w:rPr/>
      </w:pPr>
      <w:r w:rsidDel="00000000" w:rsidR="00000000" w:rsidRPr="00000000">
        <w:rPr>
          <w:rtl w:val="0"/>
        </w:rPr>
      </w:r>
    </w:p>
    <w:p w:rsidR="00000000" w:rsidDel="00000000" w:rsidP="00000000" w:rsidRDefault="00000000" w:rsidRPr="00000000" w14:paraId="0000000F">
      <w:pPr>
        <w:ind w:left="0" w:firstLine="720"/>
        <w:rPr/>
      </w:pPr>
      <w:r w:rsidDel="00000000" w:rsidR="00000000" w:rsidRPr="00000000">
        <w:rPr>
          <w:rtl w:val="0"/>
        </w:rPr>
      </w:r>
    </w:p>
    <w:p w:rsidR="00000000" w:rsidDel="00000000" w:rsidP="00000000" w:rsidRDefault="00000000" w:rsidRPr="00000000" w14:paraId="00000010">
      <w:pPr>
        <w:ind w:left="0" w:firstLine="720"/>
        <w:rPr/>
      </w:pPr>
      <w:r w:rsidDel="00000000" w:rsidR="00000000" w:rsidRPr="00000000">
        <w:rPr>
          <w:rtl w:val="0"/>
        </w:rPr>
        <w:t xml:space="preserve"> </w:t>
      </w:r>
    </w:p>
    <w:p w:rsidR="00000000" w:rsidDel="00000000" w:rsidP="00000000" w:rsidRDefault="00000000" w:rsidRPr="00000000" w14:paraId="00000011">
      <w:pPr>
        <w:ind w:left="0" w:firstLine="720"/>
        <w:rPr/>
      </w:pPr>
      <w:r w:rsidDel="00000000" w:rsidR="00000000" w:rsidRPr="00000000">
        <w:rPr>
          <w:rtl w:val="0"/>
        </w:rPr>
        <w:t xml:space="preserve"> https://neuroqueer.com/books/</w:t>
      </w:r>
    </w:p>
    <w:p w:rsidR="00000000" w:rsidDel="00000000" w:rsidP="00000000" w:rsidRDefault="00000000" w:rsidRPr="00000000" w14:paraId="00000012">
      <w:pPr>
        <w:ind w:left="0" w:firstLine="720"/>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r>
    </w:p>
    <w:p w:rsidR="00000000" w:rsidDel="00000000" w:rsidP="00000000" w:rsidRDefault="00000000" w:rsidRPr="00000000" w14:paraId="00000014">
      <w:pPr>
        <w:ind w:left="0" w:firstLine="720"/>
        <w:rPr/>
      </w:pPr>
      <w:r w:rsidDel="00000000" w:rsidR="00000000" w:rsidRPr="00000000">
        <w:rPr>
          <w:rtl w:val="0"/>
        </w:rPr>
        <w:t xml:space="preserve">  </w:t>
      </w:r>
    </w:p>
    <w:p w:rsidR="00000000" w:rsidDel="00000000" w:rsidP="00000000" w:rsidRDefault="00000000" w:rsidRPr="00000000" w14:paraId="00000015">
      <w:pPr>
        <w:ind w:left="0" w:firstLine="720"/>
        <w:rPr/>
      </w:pPr>
      <w:r w:rsidDel="00000000" w:rsidR="00000000" w:rsidRPr="00000000">
        <w:rPr>
          <w:rtl w:val="0"/>
        </w:rPr>
        <w:t xml:space="preserve">    </w:t>
      </w:r>
    </w:p>
    <w:p w:rsidR="00000000" w:rsidDel="00000000" w:rsidP="00000000" w:rsidRDefault="00000000" w:rsidRPr="00000000" w14:paraId="00000016">
      <w:pPr>
        <w:ind w:left="0" w:firstLine="720"/>
        <w:rPr/>
      </w:pPr>
      <w:r w:rsidDel="00000000" w:rsidR="00000000" w:rsidRPr="00000000">
        <w:rPr>
          <w:rtl w:val="0"/>
        </w:rPr>
      </w:r>
    </w:p>
    <w:p w:rsidR="00000000" w:rsidDel="00000000" w:rsidP="00000000" w:rsidRDefault="00000000" w:rsidRPr="00000000" w14:paraId="00000017">
      <w:pPr>
        <w:ind w:left="0" w:firstLine="720"/>
        <w:rPr/>
      </w:pPr>
      <w:r w:rsidDel="00000000" w:rsidR="00000000" w:rsidRPr="00000000">
        <w:rPr>
          <w:rtl w:val="0"/>
        </w:rPr>
      </w:r>
    </w:p>
    <w:p w:rsidR="00000000" w:rsidDel="00000000" w:rsidP="00000000" w:rsidRDefault="00000000" w:rsidRPr="00000000" w14:paraId="00000018">
      <w:pPr>
        <w:ind w:left="0" w:firstLine="720"/>
        <w:rPr/>
      </w:pPr>
      <w:r w:rsidDel="00000000" w:rsidR="00000000" w:rsidRPr="00000000">
        <w:rPr>
          <w:rtl w:val="0"/>
        </w:rPr>
      </w:r>
    </w:p>
    <w:p w:rsidR="00000000" w:rsidDel="00000000" w:rsidP="00000000" w:rsidRDefault="00000000" w:rsidRPr="00000000" w14:paraId="00000019">
      <w:pPr>
        <w:ind w:left="0" w:firstLine="720"/>
        <w:rPr/>
      </w:pPr>
      <w:r w:rsidDel="00000000" w:rsidR="00000000" w:rsidRPr="00000000">
        <w:rPr>
          <w:rtl w:val="0"/>
        </w:rPr>
        <w:t xml:space="preserve">       </w:t>
      </w:r>
    </w:p>
    <w:p w:rsidR="00000000" w:rsidDel="00000000" w:rsidP="00000000" w:rsidRDefault="00000000" w:rsidRPr="00000000" w14:paraId="0000001A">
      <w:pPr>
        <w:ind w:left="0" w:firstLine="720"/>
        <w:rPr/>
      </w:pPr>
      <w:r w:rsidDel="00000000" w:rsidR="00000000" w:rsidRPr="00000000">
        <w:rPr>
          <w:rtl w:val="0"/>
        </w:rPr>
      </w:r>
    </w:p>
    <w:p w:rsidR="00000000" w:rsidDel="00000000" w:rsidP="00000000" w:rsidRDefault="00000000" w:rsidRPr="00000000" w14:paraId="0000001B">
      <w:pPr>
        <w:ind w:left="0" w:firstLine="720"/>
        <w:rPr/>
      </w:pPr>
      <w:r w:rsidDel="00000000" w:rsidR="00000000" w:rsidRPr="00000000">
        <w:rPr>
          <w:rtl w:val="0"/>
        </w:rPr>
        <w:t xml:space="preserve">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