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Lines w:val="0"/>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Reading Response: Germon and Butler </w:t>
      </w:r>
    </w:p>
    <w:p w:rsidR="00000000" w:rsidDel="00000000" w:rsidP="00000000" w:rsidRDefault="00000000" w:rsidRPr="00000000" w14:paraId="00000002">
      <w:pPr>
        <w:keepLines w:val="0"/>
        <w:widowControl w:val="0"/>
        <w:spacing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keepLines w:val="0"/>
        <w:widowControl w:val="0"/>
        <w:numPr>
          <w:ilvl w:val="0"/>
          <w:numId w:val="1"/>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the chapter from her book, Jennifer Germon chronicles the use of the term gender by John Money to study intersex people. What norms about sex did John Money challenge in his studies? What norms about gender did he "establish"? Perhaps most importantly, what effects did Money's work have on intersex people, particularly babies and children?</w:t>
      </w:r>
    </w:p>
    <w:p w:rsidR="00000000" w:rsidDel="00000000" w:rsidP="00000000" w:rsidRDefault="00000000" w:rsidRPr="00000000" w14:paraId="00000004">
      <w:pPr>
        <w:keepLines w:val="0"/>
        <w:widowControl w:val="0"/>
        <w:shd w:fill="ffffff" w:val="clear"/>
        <w:spacing w:after="200" w:line="480" w:lineRule="auto"/>
        <w:rPr>
          <w:rFonts w:ascii="Calibri" w:cs="Calibri" w:eastAsia="Calibri" w:hAnsi="Calibri"/>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rtl w:val="0"/>
        </w:rPr>
        <w:t xml:space="preserve">Money argued for the use of additional “psychosocial signifiers” when providing sex-assignment to ambiguously intersex children so that physicians could ‘best fit’ the children into the gender binary in lieu of working to strive for a singular “true sex” that the child would have belonged to if not for their perceived genital ambiguity. Part of this included parents enforcing rigid standards of hyperfemininity or hypermasculinity to their patients in the hopes of successfully causing the imposed gender identity to ‘stick.’ Unfortunately, this led to quite a bit of traumatic experiences of the socialization of gender for intersex children who’s experiences and performances of gender did not align well with what was assigned and, in time, the unnecessary surgical sexual reassignment of intersex children.         </w:t>
      </w:r>
    </w:p>
    <w:p w:rsidR="00000000" w:rsidDel="00000000" w:rsidP="00000000" w:rsidRDefault="00000000" w:rsidRPr="00000000" w14:paraId="00000005">
      <w:pPr>
        <w:keepLines w:val="0"/>
        <w:widowControl w:val="0"/>
        <w:numPr>
          <w:ilvl w:val="0"/>
          <w:numId w:val="1"/>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 her chapter, Germon presents Money's history in order to put forth two arguments. What are those arguments?</w:t>
      </w:r>
    </w:p>
    <w:p w:rsidR="00000000" w:rsidDel="00000000" w:rsidP="00000000" w:rsidRDefault="00000000" w:rsidRPr="00000000" w14:paraId="00000006">
      <w:pPr>
        <w:keepLines w:val="0"/>
        <w:widowControl w:val="0"/>
        <w:shd w:fill="ffffff" w:val="clear"/>
        <w:spacing w:after="200" w:line="480" w:lineRule="auto"/>
        <w:rPr>
          <w:rFonts w:ascii="Calibri" w:cs="Calibri" w:eastAsia="Calibri" w:hAnsi="Calibri"/>
        </w:rPr>
      </w:pPr>
      <w:r w:rsidDel="00000000" w:rsidR="00000000" w:rsidRPr="00000000">
        <w:rPr>
          <w:rFonts w:ascii="Calibri" w:cs="Calibri" w:eastAsia="Calibri" w:hAnsi="Calibri"/>
          <w:b w:val="1"/>
          <w:sz w:val="20"/>
          <w:szCs w:val="20"/>
          <w:rtl w:val="0"/>
        </w:rPr>
        <w:tab/>
      </w:r>
      <w:r w:rsidDel="00000000" w:rsidR="00000000" w:rsidRPr="00000000">
        <w:rPr>
          <w:rFonts w:ascii="Calibri" w:cs="Calibri" w:eastAsia="Calibri" w:hAnsi="Calibri"/>
          <w:rtl w:val="0"/>
        </w:rPr>
        <w:t xml:space="preserve">Germon states that this history is presented to 1) show the ongoing relationship between intersex people and the idea of gender, and to show that 2) gender is a conceptual device of the 20th Century (Germon 62). </w:t>
      </w:r>
    </w:p>
    <w:p w:rsidR="00000000" w:rsidDel="00000000" w:rsidP="00000000" w:rsidRDefault="00000000" w:rsidRPr="00000000" w14:paraId="00000007">
      <w:pPr>
        <w:keepLines w:val="0"/>
        <w:widowControl w:val="0"/>
        <w:numPr>
          <w:ilvl w:val="0"/>
          <w:numId w:val="1"/>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something new you learned from this reading?</w:t>
      </w:r>
    </w:p>
    <w:p w:rsidR="00000000" w:rsidDel="00000000" w:rsidP="00000000" w:rsidRDefault="00000000" w:rsidRPr="00000000" w14:paraId="00000008">
      <w:pPr>
        <w:keepLines w:val="0"/>
        <w:widowControl w:val="0"/>
        <w:shd w:fill="ffffff" w:val="clear"/>
        <w:spacing w:after="200" w:line="480" w:lineRule="auto"/>
        <w:ind w:left="0" w:firstLine="0"/>
        <w:rPr>
          <w:rFonts w:ascii="Calibri" w:cs="Calibri" w:eastAsia="Calibri" w:hAnsi="Calibri"/>
        </w:rPr>
      </w:pPr>
      <w:r w:rsidDel="00000000" w:rsidR="00000000" w:rsidRPr="00000000">
        <w:rPr>
          <w:rFonts w:ascii="Calibri" w:cs="Calibri" w:eastAsia="Calibri" w:hAnsi="Calibri"/>
          <w:b w:val="1"/>
          <w:rtl w:val="0"/>
        </w:rPr>
        <w:tab/>
      </w:r>
      <w:r w:rsidDel="00000000" w:rsidR="00000000" w:rsidRPr="00000000">
        <w:rPr>
          <w:rFonts w:ascii="Calibri" w:cs="Calibri" w:eastAsia="Calibri" w:hAnsi="Calibri"/>
          <w:rtl w:val="0"/>
        </w:rPr>
        <w:t xml:space="preserve">New and fascinating to me from this reading is the fact that apparently nowhere in Money’s research was it stated that it was impossible for a person with ‘paradoxical genitals’ to have a full experience of their socialized, assigned gender and that despite apparently being aware of this, Money and his team, given that their goal was to create a framework for physicians’ practices, accidentally caused unnecessary surgical interventions on intersex children (Germon 43).      </w:t>
      </w:r>
    </w:p>
    <w:p w:rsidR="00000000" w:rsidDel="00000000" w:rsidP="00000000" w:rsidRDefault="00000000" w:rsidRPr="00000000" w14:paraId="00000009">
      <w:pPr>
        <w:keepLines w:val="0"/>
        <w:widowControl w:val="0"/>
        <w:numPr>
          <w:ilvl w:val="0"/>
          <w:numId w:val="1"/>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Discussing what constitutes women and citing Foucault (pgs. 4-5), Butler claims that subjects are regulated by the same structures that produce them or identify them as "the subject”. What does she state is the problem with this conundrum?</w:t>
      </w:r>
    </w:p>
    <w:p w:rsidR="00000000" w:rsidDel="00000000" w:rsidP="00000000" w:rsidRDefault="00000000" w:rsidRPr="00000000" w14:paraId="0000000A">
      <w:pPr>
        <w:keepLines w:val="0"/>
        <w:widowControl w:val="0"/>
        <w:shd w:fill="ffffff" w:val="clear"/>
        <w:spacing w:after="180" w:before="180" w:line="480" w:lineRule="auto"/>
        <w:ind w:left="0" w:firstLine="720"/>
        <w:rPr>
          <w:rFonts w:ascii="Calibri" w:cs="Calibri" w:eastAsia="Calibri" w:hAnsi="Calibri"/>
        </w:rPr>
      </w:pPr>
      <w:r w:rsidDel="00000000" w:rsidR="00000000" w:rsidRPr="00000000">
        <w:rPr>
          <w:rFonts w:ascii="Calibri" w:cs="Calibri" w:eastAsia="Calibri" w:hAnsi="Calibri"/>
          <w:rtl w:val="0"/>
        </w:rPr>
        <w:t xml:space="preserve">Butler’s take on this conundrum is, in her own words, “an uncritical appeal to such a system for the emancipation of “women” will be clearly self-defeating,” (Butler 5). My understanding of this logic is that, if ‘woman’ is a concept both defined and regulated by the powers that marginalize women and women-adjacent beings, plenty of people who would otherwise be the ‘subject’ of feminism would be left out of the movement, including but not limited to masculine-identifying persons who could benefit from feminism, as well as people who do not fit within the gender binary to begin with.         </w:t>
      </w:r>
    </w:p>
    <w:p w:rsidR="00000000" w:rsidDel="00000000" w:rsidP="00000000" w:rsidRDefault="00000000" w:rsidRPr="00000000" w14:paraId="0000000B">
      <w:pPr>
        <w:keepLines w:val="0"/>
        <w:widowControl w:val="0"/>
        <w:numPr>
          <w:ilvl w:val="0"/>
          <w:numId w:val="1"/>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According to Butler, why is it "impossible to separate out 'gender' from the political and cultural intersections in which it is invariably produced and maintained (6)?</w:t>
      </w:r>
    </w:p>
    <w:p w:rsidR="00000000" w:rsidDel="00000000" w:rsidP="00000000" w:rsidRDefault="00000000" w:rsidRPr="00000000" w14:paraId="0000000C">
      <w:pPr>
        <w:keepLines w:val="0"/>
        <w:widowControl w:val="0"/>
        <w:shd w:fill="ffffff" w:val="clear"/>
        <w:spacing w:after="200" w:line="480" w:lineRule="auto"/>
        <w:ind w:left="0" w:firstLine="720"/>
        <w:rPr>
          <w:rFonts w:ascii="Calibri" w:cs="Calibri" w:eastAsia="Calibri" w:hAnsi="Calibri"/>
          <w:b w:val="1"/>
        </w:rPr>
      </w:pPr>
      <w:r w:rsidDel="00000000" w:rsidR="00000000" w:rsidRPr="00000000">
        <w:rPr>
          <w:rFonts w:ascii="Calibri" w:cs="Calibri" w:eastAsia="Calibri" w:hAnsi="Calibri"/>
          <w:rtl w:val="0"/>
        </w:rPr>
        <w:t xml:space="preserve">Butler states that because gender is impossible to remove from political and social constructs because it is not defined “coherently or consistently” in kairotic context and due to the intersectionality of gender with race, socio-economic status, ethnicity, sexual, and other identities (Butler 6). She earlier states that no woman is ever just a woman. As an example, a person like myself who is a white nonbinary person is in some ways a subject of feminism, although I am not a woman by my own identifiers. However, no matter how I identify, most people do recognize me in the world as ‘a woman.’ I also benefit from certain privileges associated with my race that, while are inherently separate from my gender identity, intersect in meaningful ways that cannot be unmingled. My experiences are never just a “woman” experience or a “white” experience or even a “queer” experience, they are always all of the above.   </w:t>
      </w:r>
      <w:r w:rsidDel="00000000" w:rsidR="00000000" w:rsidRPr="00000000">
        <w:rPr>
          <w:rtl w:val="0"/>
        </w:rPr>
      </w:r>
    </w:p>
    <w:p w:rsidR="00000000" w:rsidDel="00000000" w:rsidP="00000000" w:rsidRDefault="00000000" w:rsidRPr="00000000" w14:paraId="0000000D">
      <w:pPr>
        <w:keepLines w:val="0"/>
        <w:widowControl w:val="0"/>
        <w:numPr>
          <w:ilvl w:val="0"/>
          <w:numId w:val="1"/>
        </w:numPr>
        <w:shd w:fill="ffffff" w:val="clear"/>
        <w:spacing w:after="20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Butler states: The limits of the discursive analysis of gender presuppose and preempt the possibilities of imaginable and realizable gender configurations within culture. This is not to say that any and all gendered possibilities are open, but that the boundaries of analysis suggest the limits of a discursively conditioned experience.These limits are always set within the terms of a hegemonic cultural discourse predicated on binary structures that appear as the language of universal rationality. Constraint is thus built into what that language constitutes as the imaginable domain of gender." (13) In simple terms, what does she mean by this? Have you had any experiences that support this claim?</w:t>
      </w:r>
    </w:p>
    <w:p w:rsidR="00000000" w:rsidDel="00000000" w:rsidP="00000000" w:rsidRDefault="00000000" w:rsidRPr="00000000" w14:paraId="0000000E">
      <w:pPr>
        <w:keepLines w:val="0"/>
        <w:widowControl w:val="0"/>
        <w:shd w:fill="ffffff" w:val="clear"/>
        <w:spacing w:after="200" w:line="480" w:lineRule="auto"/>
        <w:ind w:left="0" w:firstLine="720"/>
        <w:rPr>
          <w:rFonts w:ascii="Calibri" w:cs="Calibri" w:eastAsia="Calibri" w:hAnsi="Calibri"/>
          <w:b w:val="1"/>
        </w:rPr>
      </w:pPr>
      <w:r w:rsidDel="00000000" w:rsidR="00000000" w:rsidRPr="00000000">
        <w:rPr>
          <w:rFonts w:ascii="Calibri" w:cs="Calibri" w:eastAsia="Calibri" w:hAnsi="Calibri"/>
          <w:rtl w:val="0"/>
        </w:rPr>
        <w:t xml:space="preserve">In non-academese, what Butler means is that the common western interpretation of gender supposes a binary system in which all persons (across all times, in all places) are either male or female, with little variation, and that even when that variation does occur, our understanding of it and our ability to discuss any meaningful differences with language is limited by a cultural belief that the standard model of gender is always a male-female binary. I have experienced this frequently as a non-binary person who is partnered with another non-binary person. We get a lot of odd questions we get from friends, family members and even strangers about ‘who is the man and who is the woman’ in the relationship. These questions are fascinating (albeit a bit annoying) as they all hinge on the notion that there must be ‘a man’, and ‘a woman,’ even when neither is present, no matter the context. Questions we have gotten along this line have been from anything as ‘innocuous’ (if you can call it that) as who does what around the house to more invasive questions about sex and gentials which, apparently, cisgender heteronormative people think are perfectly acceptable topics of polite conversation when it comes to us. Funnily enough, if you point out to them how uncomfortable they might feel if someone asked them about such private matters, they usually get quite embarrassed.     </w:t>
      </w:r>
      <w:r w:rsidDel="00000000" w:rsidR="00000000" w:rsidRPr="00000000">
        <w:rPr>
          <w:rtl w:val="0"/>
        </w:rPr>
      </w:r>
    </w:p>
    <w:p w:rsidR="00000000" w:rsidDel="00000000" w:rsidP="00000000" w:rsidRDefault="00000000" w:rsidRPr="00000000" w14:paraId="0000000F">
      <w:pPr>
        <w:keepLines w:val="0"/>
        <w:widowControl w:val="0"/>
        <w:numPr>
          <w:ilvl w:val="0"/>
          <w:numId w:val="1"/>
        </w:numPr>
        <w:shd w:fill="ffffff" w:val="clear"/>
        <w:spacing w:after="180" w:before="180" w:line="240" w:lineRule="auto"/>
        <w:ind w:left="72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These writings were published many years ago (2009 and 1999). What have you seen, read about, or experienced that demonstrates some changes in thinking about gender, sex, and feminism compared to these two readings?</w:t>
      </w:r>
    </w:p>
    <w:p w:rsidR="00000000" w:rsidDel="00000000" w:rsidP="00000000" w:rsidRDefault="00000000" w:rsidRPr="00000000" w14:paraId="00000010">
      <w:pPr>
        <w:spacing w:line="480" w:lineRule="auto"/>
        <w:ind w:firstLine="720"/>
        <w:jc w:val="left"/>
        <w:rPr>
          <w:rFonts w:ascii="Calibri" w:cs="Calibri" w:eastAsia="Calibri" w:hAnsi="Calibri"/>
        </w:rPr>
      </w:pPr>
      <w:r w:rsidDel="00000000" w:rsidR="00000000" w:rsidRPr="00000000">
        <w:rPr>
          <w:rFonts w:ascii="Calibri" w:cs="Calibri" w:eastAsia="Calibri" w:hAnsi="Calibri"/>
          <w:rtl w:val="0"/>
        </w:rPr>
        <w:t xml:space="preserve">I believe it is more common in 2022 to think of feminism as being a thought process and a movement which aids more than just cisgender women, but rather, plenty of queer people and men as well. I know there is some debate and question about whether transmen and transwomen belong in so-called ‘women’s spaces’, although it would appear that Butler would certainly support both of these groups of people existing within those spaces. I have also heard anecdotally through media, although I don’t know how true this is or know how it is reflected in statistics, that it is growing more common for intersex children to not endure surgeries as infants and to make some of those decisions on their own as they get older.    </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 6332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Arellano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9/11/2022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