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180" w:before="180" w:line="312" w:lineRule="auto"/>
        <w:jc w:val="center"/>
        <w:rPr>
          <w:rFonts w:ascii="Times New Roman" w:cs="Times New Roman" w:eastAsia="Times New Roman" w:hAnsi="Times New Roman"/>
          <w:sz w:val="21"/>
          <w:szCs w:val="21"/>
          <w:u w:val="single"/>
        </w:rPr>
      </w:pPr>
      <w:bookmarkStart w:colFirst="0" w:colLast="0" w:name="_cjl5hok8zyeu" w:id="0"/>
      <w:bookmarkEnd w:id="0"/>
      <w:r w:rsidDel="00000000" w:rsidR="00000000" w:rsidRPr="00000000">
        <w:rPr>
          <w:rFonts w:ascii="Times New Roman" w:cs="Times New Roman" w:eastAsia="Times New Roman" w:hAnsi="Times New Roman"/>
          <w:sz w:val="21"/>
          <w:szCs w:val="21"/>
          <w:u w:val="single"/>
          <w:rtl w:val="0"/>
        </w:rPr>
        <w:t xml:space="preserve">Reading Response #10: Calafell </w:t>
      </w:r>
    </w:p>
    <w:p w:rsidR="00000000" w:rsidDel="00000000" w:rsidP="00000000" w:rsidRDefault="00000000" w:rsidRPr="00000000" w14:paraId="00000002">
      <w:pPr>
        <w:pStyle w:val="Heading1"/>
        <w:keepNext w:val="0"/>
        <w:keepLines w:val="0"/>
        <w:numPr>
          <w:ilvl w:val="0"/>
          <w:numId w:val="1"/>
        </w:numPr>
        <w:shd w:fill="ffffff" w:val="clear"/>
        <w:spacing w:after="200" w:before="0" w:line="312" w:lineRule="auto"/>
        <w:ind w:left="1100" w:hanging="360"/>
        <w:rPr>
          <w:rFonts w:ascii="Times New Roman" w:cs="Times New Roman" w:eastAsia="Times New Roman" w:hAnsi="Times New Roman"/>
          <w:color w:val="000000"/>
          <w:sz w:val="21"/>
          <w:szCs w:val="21"/>
        </w:rPr>
      </w:pPr>
      <w:bookmarkStart w:colFirst="0" w:colLast="0" w:name="_cjl5hok8zyeu" w:id="0"/>
      <w:bookmarkEnd w:id="0"/>
      <w:r w:rsidDel="00000000" w:rsidR="00000000" w:rsidRPr="00000000">
        <w:rPr>
          <w:rFonts w:ascii="Times New Roman" w:cs="Times New Roman" w:eastAsia="Times New Roman" w:hAnsi="Times New Roman"/>
          <w:sz w:val="21"/>
          <w:szCs w:val="21"/>
          <w:rtl w:val="0"/>
        </w:rPr>
        <w:t xml:space="preserve">What is the main point this author makes in their chapter/article?</w:t>
      </w:r>
    </w:p>
    <w:p w:rsidR="00000000" w:rsidDel="00000000" w:rsidP="00000000" w:rsidRDefault="00000000" w:rsidRPr="00000000" w14:paraId="00000003">
      <w:pPr>
        <w:ind w:left="0" w:firstLine="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Calafell’s main argument is advocating for a respect for a person’s lived experiences alongside their academic identity (or identities) to create a “space of possibility,” for those who are “cultural outsiders” within the academy (Calafell 106).   </w:t>
      </w:r>
    </w:p>
    <w:p w:rsidR="00000000" w:rsidDel="00000000" w:rsidP="00000000" w:rsidRDefault="00000000" w:rsidRPr="00000000" w14:paraId="00000004">
      <w:pPr>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5">
      <w:pPr>
        <w:pStyle w:val="Heading1"/>
        <w:keepNext w:val="0"/>
        <w:keepLines w:val="0"/>
        <w:numPr>
          <w:ilvl w:val="0"/>
          <w:numId w:val="1"/>
        </w:numPr>
        <w:shd w:fill="ffffff" w:val="clear"/>
        <w:spacing w:after="200" w:before="0" w:line="312" w:lineRule="auto"/>
        <w:ind w:left="1100" w:hanging="360"/>
        <w:rPr>
          <w:rFonts w:ascii="Times New Roman" w:cs="Times New Roman" w:eastAsia="Times New Roman" w:hAnsi="Times New Roman"/>
          <w:color w:val="000000"/>
          <w:sz w:val="21"/>
          <w:szCs w:val="21"/>
        </w:rPr>
      </w:pPr>
      <w:bookmarkStart w:colFirst="0" w:colLast="0" w:name="_cjl5hok8zyeu" w:id="0"/>
      <w:bookmarkEnd w:id="0"/>
      <w:r w:rsidDel="00000000" w:rsidR="00000000" w:rsidRPr="00000000">
        <w:rPr>
          <w:rFonts w:ascii="Times New Roman" w:cs="Times New Roman" w:eastAsia="Times New Roman" w:hAnsi="Times New Roman"/>
          <w:sz w:val="21"/>
          <w:szCs w:val="21"/>
          <w:rtl w:val="0"/>
        </w:rPr>
        <w:t xml:space="preserve">How does this main point contribute to your ways of thinking about gender, feminism, and/or rhetoric. </w:t>
      </w:r>
    </w:p>
    <w:p w:rsidR="00000000" w:rsidDel="00000000" w:rsidP="00000000" w:rsidRDefault="00000000" w:rsidRPr="00000000" w14:paraId="00000006">
      <w:pPr>
        <w:ind w:firstLine="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Calafell’s experiences with reading Lisa Flores and Sandra Cisneros mirror greatly my own experiences of learning about autistic and other neurodivergent and/or disabled scholars within the academy, such as Remi Yergeau. Although we certainly do have different journeys and different subject positionalities, and I don’t imagine I can ever really understand the full context of what academic life is like for her as a Latina (especially in North Carolina--oh goodness), I have had the life experience of seeing myself in a text for the first time in an unexpected way, and also, frankly, of not fitting in with the same experiences of my more traditional peers in school because of factors like a long commute, the relative wealth of my peers compared with my own upbringing, and so on. Each of these things fed into my academic journey, too. The passage where she mentions some of her white university classmates’ having had </w:t>
      </w:r>
      <w:r w:rsidDel="00000000" w:rsidR="00000000" w:rsidRPr="00000000">
        <w:rPr>
          <w:rFonts w:ascii="Times New Roman" w:cs="Times New Roman" w:eastAsia="Times New Roman" w:hAnsi="Times New Roman"/>
          <w:i w:val="1"/>
          <w:sz w:val="21"/>
          <w:szCs w:val="21"/>
          <w:rtl w:val="0"/>
        </w:rPr>
        <w:t xml:space="preserve">the privilege </w:t>
      </w:r>
      <w:r w:rsidDel="00000000" w:rsidR="00000000" w:rsidRPr="00000000">
        <w:rPr>
          <w:rFonts w:ascii="Times New Roman" w:cs="Times New Roman" w:eastAsia="Times New Roman" w:hAnsi="Times New Roman"/>
          <w:sz w:val="21"/>
          <w:szCs w:val="21"/>
          <w:rtl w:val="0"/>
        </w:rPr>
        <w:t xml:space="preserve">to be atheists made me laugh out loud. While religion operates much differently for me given my own cultural background, I, too, remember becoming mysteriously surrounded by intellectual white atheists who disregarded their parents' wishes and hopes in university, and were utterly astounded when I could not do the same.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numPr>
          <w:ilvl w:val="0"/>
          <w:numId w:val="1"/>
        </w:numPr>
        <w:shd w:fill="ffffff" w:val="clear"/>
        <w:spacing w:after="200" w:before="0" w:line="312" w:lineRule="auto"/>
        <w:ind w:left="1100" w:hanging="360"/>
        <w:rPr>
          <w:rFonts w:ascii="Times New Roman" w:cs="Times New Roman" w:eastAsia="Times New Roman" w:hAnsi="Times New Roman"/>
          <w:color w:val="000000"/>
        </w:rPr>
      </w:pPr>
      <w:bookmarkStart w:colFirst="0" w:colLast="0" w:name="_jbc1h7f2l06w" w:id="1"/>
      <w:bookmarkEnd w:id="1"/>
      <w:r w:rsidDel="00000000" w:rsidR="00000000" w:rsidRPr="00000000">
        <w:rPr>
          <w:rFonts w:ascii="Times New Roman" w:cs="Times New Roman" w:eastAsia="Times New Roman" w:hAnsi="Times New Roman"/>
          <w:sz w:val="24"/>
          <w:szCs w:val="24"/>
          <w:rtl w:val="0"/>
        </w:rPr>
        <w:t xml:space="preserve">What hope does this reading give you in thinking about your future?</w:t>
      </w:r>
    </w:p>
    <w:p w:rsidR="00000000" w:rsidDel="00000000" w:rsidP="00000000" w:rsidRDefault="00000000" w:rsidRPr="00000000" w14:paraId="00000009">
      <w:pPr>
        <w:ind w:left="0" w:firstLine="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discussion of methodological homeplace, for me, feels pivotal to understand. While Calafell specifically introduces this concept with reference to women of color in the academy, I imagine it has some overlap for other folks at the margins. I have, after all, never felt the need for a homeplace in the academic world for my whiteness -- my disability, however, has been a constant point of anxiety with regard to academic identity and work. </w:t>
      </w:r>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0" w:before="0" w:line="312" w:lineRule="auto"/>
        <w:rPr>
          <w:rFonts w:ascii="Times New Roman" w:cs="Times New Roman" w:eastAsia="Times New Roman" w:hAnsi="Times New Roman"/>
          <w:color w:val="2d3b45"/>
          <w:sz w:val="21"/>
          <w:szCs w:val="21"/>
        </w:rPr>
      </w:pPr>
      <w:bookmarkStart w:colFirst="0" w:colLast="0" w:name="_h76txwnc2joz" w:id="2"/>
      <w:bookmarkEnd w:id="2"/>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 Kennedy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11/21/2022</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 6332</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Arellano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