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i w:val="1"/>
          <w:u w:val="single"/>
        </w:rPr>
      </w:pPr>
      <w:r w:rsidDel="00000000" w:rsidR="00000000" w:rsidRPr="00000000">
        <w:rPr>
          <w:i w:val="1"/>
          <w:u w:val="single"/>
          <w:rtl w:val="0"/>
        </w:rPr>
        <w:t xml:space="preserve">Preliminary Abstract: Pokemon - Legends of Arceus: Procedural Rhetoric, Soft Power, and the Forced Miscegenation of Japan’s Indigenous People(s)</w:t>
      </w:r>
    </w:p>
    <w:p w:rsidR="00000000" w:rsidDel="00000000" w:rsidP="00000000" w:rsidRDefault="00000000" w:rsidRPr="00000000" w14:paraId="00000002">
      <w:pPr>
        <w:jc w:val="left"/>
        <w:rPr>
          <w:u w:val="single"/>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One of the biggest criticisms of the Pokemon handheld release franchise has also been one of its greatest attractors: Nintendo and GameFreak have, for twenty-six years, released two versions of nearly identical games for purchase and has reused the same procedural script in virtually each one of these games. The 2022 release of </w:t>
      </w:r>
      <w:r w:rsidDel="00000000" w:rsidR="00000000" w:rsidRPr="00000000">
        <w:rPr>
          <w:i w:val="1"/>
          <w:rtl w:val="0"/>
        </w:rPr>
        <w:t xml:space="preserve">Pokemon: Legends of Arceus</w:t>
      </w:r>
      <w:r w:rsidDel="00000000" w:rsidR="00000000" w:rsidRPr="00000000">
        <w:rPr>
          <w:rtl w:val="0"/>
        </w:rPr>
        <w:t xml:space="preserve"> saw the introduction of notable differences in the procedural rhetorics of the franchise and, for the first time, introduced a plotline appearing in a fictionalized past of a real place. </w:t>
      </w:r>
      <w:r w:rsidDel="00000000" w:rsidR="00000000" w:rsidRPr="00000000">
        <w:rPr>
          <w:i w:val="1"/>
          <w:rtl w:val="0"/>
        </w:rPr>
        <w:t xml:space="preserve">Arceus</w:t>
      </w:r>
      <w:r w:rsidDel="00000000" w:rsidR="00000000" w:rsidRPr="00000000">
        <w:rPr>
          <w:rtl w:val="0"/>
        </w:rPr>
        <w:t xml:space="preserve"> occurs sometime between the late 1880s and early 1900s, during the colonization of what Pokemon calls the Sinnoh or Hisui region. This region maps on to the real-world modern day Japanese providence of Hokkaido and was the site of an intense colonization effort by the Japanese Imperial Army to take control of the island and to miscegenate the indigenous Ainu people into the Japanese Empire. </w:t>
      </w:r>
      <w:r w:rsidDel="00000000" w:rsidR="00000000" w:rsidRPr="00000000">
        <w:rPr>
          <w:i w:val="1"/>
          <w:rtl w:val="0"/>
        </w:rPr>
        <w:t xml:space="preserve">Arceus</w:t>
      </w:r>
      <w:r w:rsidDel="00000000" w:rsidR="00000000" w:rsidRPr="00000000">
        <w:rPr>
          <w:rtl w:val="0"/>
        </w:rPr>
        <w:t xml:space="preserve">, however, presents a whitewashed version of this history, one without indigenous people or colonization at all and instead with peaceful settlers from other lands who strive to peacefully coexist with the region’s Pokemon. I call upon Boghost’s procedural rhetoric and the concept of Japan’s soft power as presented through Japanese animation and video games to question the rhetorical work of </w:t>
      </w:r>
      <w:r w:rsidDel="00000000" w:rsidR="00000000" w:rsidRPr="00000000">
        <w:rPr>
          <w:i w:val="1"/>
          <w:rtl w:val="0"/>
        </w:rPr>
        <w:t xml:space="preserve">Arceus </w:t>
      </w:r>
      <w:r w:rsidDel="00000000" w:rsidR="00000000" w:rsidRPr="00000000">
        <w:rPr>
          <w:rtl w:val="0"/>
        </w:rPr>
        <w:t xml:space="preserve">and the implications of including revisionist history in the embodied processes of Pokemon including the ideologies and mistruths about Imperial Japan’s colonial history that are conveyed by the representations in</w:t>
      </w:r>
      <w:r w:rsidDel="00000000" w:rsidR="00000000" w:rsidRPr="00000000">
        <w:rPr>
          <w:i w:val="1"/>
          <w:rtl w:val="0"/>
        </w:rPr>
        <w:t xml:space="preserve"> Arceus</w:t>
      </w:r>
      <w:r w:rsidDel="00000000" w:rsidR="00000000" w:rsidRPr="00000000">
        <w:rPr>
          <w:rtl w:val="0"/>
        </w:rPr>
        <w:t xml:space="preserve">. </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t xml:space="preserve">Possible publication venues: </w:t>
      </w:r>
      <w:r w:rsidDel="00000000" w:rsidR="00000000" w:rsidRPr="00000000">
        <w:rPr>
          <w:i w:val="1"/>
          <w:rtl w:val="0"/>
        </w:rPr>
        <w:t xml:space="preserve">Game Studies </w:t>
      </w:r>
      <w:r w:rsidDel="00000000" w:rsidR="00000000" w:rsidRPr="00000000">
        <w:rPr>
          <w:rtl w:val="0"/>
        </w:rPr>
        <w:t xml:space="preserve">or the Journal of Games Criticism, if either of those publications survived COVID. Anastasia also suggests Games &amp; Culture</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i w:val="1"/>
          <w:color w:val="a64d79"/>
          <w:sz w:val="24"/>
          <w:szCs w:val="24"/>
          <w:highlight w:val="white"/>
        </w:rPr>
      </w:pPr>
      <w:r w:rsidDel="00000000" w:rsidR="00000000" w:rsidRPr="00000000">
        <w:rPr>
          <w:i w:val="1"/>
          <w:color w:val="a64d79"/>
          <w:sz w:val="24"/>
          <w:szCs w:val="24"/>
          <w:highlight w:val="white"/>
          <w:rtl w:val="0"/>
        </w:rPr>
        <w:t xml:space="preserve">Bogost is a good starting point here, but you'll definitely want to take a look at Indigenous game studies and decolonial digital humanities for some ideas about how to approach this game in particular. Aaron Trammell's work on decolonizing play might be helpful: https://www.tandfonline.com/doi/full/10.1080/15295036.2022.2080844</w:t>
      </w:r>
    </w:p>
    <w:p w:rsidR="00000000" w:rsidDel="00000000" w:rsidP="00000000" w:rsidRDefault="00000000" w:rsidRPr="00000000" w14:paraId="00000009">
      <w:pPr>
        <w:jc w:val="left"/>
        <w:rPr>
          <w:i w:val="1"/>
          <w:color w:val="a64d79"/>
          <w:sz w:val="24"/>
          <w:szCs w:val="24"/>
          <w:highlight w:val="white"/>
        </w:rPr>
      </w:pPr>
      <w:r w:rsidDel="00000000" w:rsidR="00000000" w:rsidRPr="00000000">
        <w:rPr>
          <w:rtl w:val="0"/>
        </w:rPr>
      </w:r>
    </w:p>
    <w:p w:rsidR="00000000" w:rsidDel="00000000" w:rsidP="00000000" w:rsidRDefault="00000000" w:rsidRPr="00000000" w14:paraId="0000000A">
      <w:pPr>
        <w:jc w:val="left"/>
        <w:rPr>
          <w:i w:val="1"/>
          <w:color w:val="a64d79"/>
          <w:sz w:val="24"/>
          <w:szCs w:val="24"/>
          <w:highlight w:val="white"/>
        </w:rPr>
      </w:pPr>
      <w:r w:rsidDel="00000000" w:rsidR="00000000" w:rsidRPr="00000000">
        <w:rPr>
          <w:i w:val="1"/>
          <w:color w:val="a64d79"/>
          <w:sz w:val="24"/>
          <w:szCs w:val="24"/>
          <w:highlight w:val="white"/>
          <w:rtl w:val="0"/>
        </w:rPr>
        <w:t xml:space="preserve">Journal-wise, also take a look at Games &amp;  Culture. The essays in their 2006 first issue frame their field and I think you're in that conversation here: https://journals.sagepub.com/doi/abs/10.1177/1555412005281911 I know Game Studies is publishing regularly, and I believe JGC is doing so as well. </w:t>
      </w:r>
    </w:p>
    <w:p w:rsidR="00000000" w:rsidDel="00000000" w:rsidP="00000000" w:rsidRDefault="00000000" w:rsidRPr="00000000" w14:paraId="0000000B">
      <w:pPr>
        <w:jc w:val="left"/>
        <w:rPr>
          <w:i w:val="1"/>
          <w:color w:val="a64d79"/>
          <w:sz w:val="24"/>
          <w:szCs w:val="24"/>
          <w:highlight w:val="white"/>
        </w:rPr>
      </w:pPr>
      <w:r w:rsidDel="00000000" w:rsidR="00000000" w:rsidRPr="00000000">
        <w:rPr>
          <w:rtl w:val="0"/>
        </w:rPr>
      </w:r>
    </w:p>
    <w:p w:rsidR="00000000" w:rsidDel="00000000" w:rsidP="00000000" w:rsidRDefault="00000000" w:rsidRPr="00000000" w14:paraId="0000000C">
      <w:pPr>
        <w:jc w:val="left"/>
        <w:rPr>
          <w:i w:val="1"/>
          <w:color w:val="a64d79"/>
        </w:rPr>
      </w:pPr>
      <w:r w:rsidDel="00000000" w:rsidR="00000000" w:rsidRPr="00000000">
        <w:rPr>
          <w:i w:val="1"/>
          <w:color w:val="a64d79"/>
          <w:sz w:val="24"/>
          <w:szCs w:val="24"/>
          <w:highlight w:val="white"/>
          <w:rtl w:val="0"/>
        </w:rPr>
        <w:t xml:space="preserve">I'd also suggest picking up Chang from the core list, even though we aren't reading her this time, because of the entangled environmental themes here. It's not quite aligned with the lens you are using here, but based on our discussions I'd also suggest you take a look at the Queerness special issue of Game Studies: http://gamestudies.org/1803/articles/phillips_ruberg/ Great start!</w:t>
      </w: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center"/>
        <w:rPr>
          <w:color w:val="202122"/>
          <w:sz w:val="21"/>
          <w:szCs w:val="21"/>
          <w:highlight w:val="white"/>
          <w:u w:val="single"/>
        </w:rPr>
      </w:pPr>
      <w:r w:rsidDel="00000000" w:rsidR="00000000" w:rsidRPr="00000000">
        <w:rPr>
          <w:color w:val="202122"/>
          <w:sz w:val="21"/>
          <w:szCs w:val="21"/>
          <w:highlight w:val="white"/>
          <w:u w:val="single"/>
          <w:rtl w:val="0"/>
        </w:rPr>
        <w:t xml:space="preserve">Potential Works Cited </w:t>
      </w:r>
    </w:p>
    <w:p w:rsidR="00000000" w:rsidDel="00000000" w:rsidP="00000000" w:rsidRDefault="00000000" w:rsidRPr="00000000" w14:paraId="00000010">
      <w:pPr>
        <w:jc w:val="left"/>
        <w:rPr>
          <w:color w:val="202122"/>
          <w:sz w:val="21"/>
          <w:szCs w:val="21"/>
          <w:highlight w:val="whit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hyperlink r:id="rId6">
        <w:r w:rsidDel="00000000" w:rsidR="00000000" w:rsidRPr="00000000">
          <w:rPr>
            <w:vertAlign w:val="baseline"/>
            <w:rtl w:val="0"/>
          </w:rPr>
          <w:t xml:space="preserve">Bainbridge, J. (2014). ‘It is a Pokémon world’: The Pokémon franchise and the environment. </w:t>
        </w:r>
      </w:hyperlink>
      <w:hyperlink r:id="rId7">
        <w:r w:rsidDel="00000000" w:rsidR="00000000" w:rsidRPr="00000000">
          <w:rPr>
            <w:i w:val="1"/>
            <w:vertAlign w:val="baseline"/>
            <w:rtl w:val="0"/>
          </w:rPr>
          <w:t xml:space="preserve">International Journal of Cultural Studies</w:t>
        </w:r>
      </w:hyperlink>
      <w:hyperlink r:id="rId8">
        <w:r w:rsidDel="00000000" w:rsidR="00000000" w:rsidRPr="00000000">
          <w:rPr>
            <w:vertAlign w:val="baseline"/>
            <w:rtl w:val="0"/>
          </w:rPr>
          <w:t xml:space="preserve">, </w:t>
        </w:r>
      </w:hyperlink>
      <w:hyperlink r:id="rId9">
        <w:r w:rsidDel="00000000" w:rsidR="00000000" w:rsidRPr="00000000">
          <w:rPr>
            <w:i w:val="1"/>
            <w:vertAlign w:val="baseline"/>
            <w:rtl w:val="0"/>
          </w:rPr>
          <w:t xml:space="preserve">17</w:t>
        </w:r>
      </w:hyperlink>
      <w:hyperlink r:id="rId10">
        <w:r w:rsidDel="00000000" w:rsidR="00000000" w:rsidRPr="00000000">
          <w:rPr>
            <w:vertAlign w:val="baseline"/>
            <w:rtl w:val="0"/>
          </w:rPr>
          <w:t xml:space="preserve">(4), 399–414. https://doi.org/10.1177/1367877913501240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hyperlink r:id="rId11">
        <w:r w:rsidDel="00000000" w:rsidR="00000000" w:rsidRPr="00000000">
          <w:rPr>
            <w:vertAlign w:val="baseline"/>
            <w:rtl w:val="0"/>
          </w:rPr>
          <w:t xml:space="preserve">Bogost, I. (2010). </w:t>
        </w:r>
      </w:hyperlink>
      <w:hyperlink r:id="rId12">
        <w:r w:rsidDel="00000000" w:rsidR="00000000" w:rsidRPr="00000000">
          <w:rPr>
            <w:i w:val="1"/>
            <w:vertAlign w:val="baseline"/>
            <w:rtl w:val="0"/>
          </w:rPr>
          <w:t xml:space="preserve">Persuasive Games: The Expressive Power of Videogames</w:t>
        </w:r>
      </w:hyperlink>
      <w:hyperlink r:id="rId13">
        <w:r w:rsidDel="00000000" w:rsidR="00000000" w:rsidRPr="00000000">
          <w:rPr>
            <w:vertAlign w:val="baseline"/>
            <w:rtl w:val="0"/>
          </w:rPr>
          <w:t xml:space="preserve">. MIT Press.</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hyperlink r:id="rId14">
        <w:r w:rsidDel="00000000" w:rsidR="00000000" w:rsidRPr="00000000">
          <w:rPr>
            <w:vertAlign w:val="baseline"/>
            <w:rtl w:val="0"/>
          </w:rPr>
          <w:t xml:space="preserve">Gordon, A. (1993). </w:t>
        </w:r>
      </w:hyperlink>
      <w:hyperlink r:id="rId15">
        <w:r w:rsidDel="00000000" w:rsidR="00000000" w:rsidRPr="00000000">
          <w:rPr>
            <w:i w:val="1"/>
            <w:vertAlign w:val="baseline"/>
            <w:rtl w:val="0"/>
          </w:rPr>
          <w:t xml:space="preserve">Postwar Japan as History</w:t>
        </w:r>
      </w:hyperlink>
      <w:hyperlink r:id="rId16">
        <w:r w:rsidDel="00000000" w:rsidR="00000000" w:rsidRPr="00000000">
          <w:rPr>
            <w:vertAlign w:val="baseline"/>
            <w:rtl w:val="0"/>
          </w:rPr>
          <w:t xml:space="preserve">. University of California Press.</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hyperlink r:id="rId17">
        <w:r w:rsidDel="00000000" w:rsidR="00000000" w:rsidRPr="00000000">
          <w:rPr>
            <w:vertAlign w:val="baseline"/>
            <w:rtl w:val="0"/>
          </w:rPr>
          <w:t xml:space="preserve">Gordon, A. (2020). </w:t>
        </w:r>
      </w:hyperlink>
      <w:hyperlink r:id="rId18">
        <w:r w:rsidDel="00000000" w:rsidR="00000000" w:rsidRPr="00000000">
          <w:rPr>
            <w:i w:val="1"/>
            <w:vertAlign w:val="baseline"/>
            <w:rtl w:val="0"/>
          </w:rPr>
          <w:t xml:space="preserve">A Modern History of Japan: From Tokugawa Times to the Present</w:t>
        </w:r>
      </w:hyperlink>
      <w:hyperlink r:id="rId19">
        <w:r w:rsidDel="00000000" w:rsidR="00000000" w:rsidRPr="00000000">
          <w:rPr>
            <w:vertAlign w:val="baseline"/>
            <w:rtl w:val="0"/>
          </w:rPr>
          <w:t xml:space="preserve">. Oxford University Press.</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hyperlink r:id="rId20">
        <w:r w:rsidDel="00000000" w:rsidR="00000000" w:rsidRPr="00000000">
          <w:rPr>
            <w:vertAlign w:val="baseline"/>
            <w:rtl w:val="0"/>
          </w:rPr>
          <w:t xml:space="preserve">Heng, Y.-K. (2017). Three Faces of Japan’s Soft Power. </w:t>
        </w:r>
      </w:hyperlink>
      <w:hyperlink r:id="rId21">
        <w:r w:rsidDel="00000000" w:rsidR="00000000" w:rsidRPr="00000000">
          <w:rPr>
            <w:i w:val="1"/>
            <w:vertAlign w:val="baseline"/>
            <w:rtl w:val="0"/>
          </w:rPr>
          <w:t xml:space="preserve">Asian International Studies Review</w:t>
        </w:r>
      </w:hyperlink>
      <w:hyperlink r:id="rId22">
        <w:r w:rsidDel="00000000" w:rsidR="00000000" w:rsidRPr="00000000">
          <w:rPr>
            <w:vertAlign w:val="baseline"/>
            <w:rtl w:val="0"/>
          </w:rPr>
          <w:t xml:space="preserve">, </w:t>
        </w:r>
      </w:hyperlink>
      <w:hyperlink r:id="rId23">
        <w:r w:rsidDel="00000000" w:rsidR="00000000" w:rsidRPr="00000000">
          <w:rPr>
            <w:i w:val="1"/>
            <w:vertAlign w:val="baseline"/>
            <w:rtl w:val="0"/>
          </w:rPr>
          <w:t xml:space="preserve">18</w:t>
        </w:r>
      </w:hyperlink>
      <w:hyperlink r:id="rId24">
        <w:r w:rsidDel="00000000" w:rsidR="00000000" w:rsidRPr="00000000">
          <w:rPr>
            <w:vertAlign w:val="baseline"/>
            <w:rtl w:val="0"/>
          </w:rPr>
          <w:t xml:space="preserve">(1), 171–188. https://doi.org/10.1163/2667078X-01801009</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hyperlink r:id="rId25">
        <w:r w:rsidDel="00000000" w:rsidR="00000000" w:rsidRPr="00000000">
          <w:rPr>
            <w:vertAlign w:val="baseline"/>
            <w:rtl w:val="0"/>
          </w:rPr>
          <w:t xml:space="preserve">Ivy, M. (2000). Revenge and Recapitation in Recessionary Japan. </w:t>
        </w:r>
      </w:hyperlink>
      <w:hyperlink r:id="rId26">
        <w:r w:rsidDel="00000000" w:rsidR="00000000" w:rsidRPr="00000000">
          <w:rPr>
            <w:i w:val="1"/>
            <w:vertAlign w:val="baseline"/>
            <w:rtl w:val="0"/>
          </w:rPr>
          <w:t xml:space="preserve">South Atlantic Quarterly</w:t>
        </w:r>
      </w:hyperlink>
      <w:hyperlink r:id="rId27">
        <w:r w:rsidDel="00000000" w:rsidR="00000000" w:rsidRPr="00000000">
          <w:rPr>
            <w:vertAlign w:val="baseline"/>
            <w:rtl w:val="0"/>
          </w:rPr>
          <w:t xml:space="preserve">, </w:t>
        </w:r>
      </w:hyperlink>
      <w:hyperlink r:id="rId28">
        <w:r w:rsidDel="00000000" w:rsidR="00000000" w:rsidRPr="00000000">
          <w:rPr>
            <w:i w:val="1"/>
            <w:vertAlign w:val="baseline"/>
            <w:rtl w:val="0"/>
          </w:rPr>
          <w:t xml:space="preserve">99</w:t>
        </w:r>
      </w:hyperlink>
      <w:hyperlink r:id="rId29">
        <w:r w:rsidDel="00000000" w:rsidR="00000000" w:rsidRPr="00000000">
          <w:rPr>
            <w:vertAlign w:val="baseline"/>
            <w:rtl w:val="0"/>
          </w:rPr>
          <w:t xml:space="preserve">(4), 819–840. https://doi.org/10.1215/00382876-99-4-819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hyperlink r:id="rId30">
        <w:r w:rsidDel="00000000" w:rsidR="00000000" w:rsidRPr="00000000">
          <w:rPr>
            <w:vertAlign w:val="baseline"/>
            <w:rtl w:val="0"/>
          </w:rPr>
          <w:t xml:space="preserve">Kim, H. (2022, March 28). </w:t>
        </w:r>
      </w:hyperlink>
      <w:hyperlink r:id="rId31">
        <w:r w:rsidDel="00000000" w:rsidR="00000000" w:rsidRPr="00000000">
          <w:rPr>
            <w:i w:val="1"/>
            <w:vertAlign w:val="baseline"/>
            <w:rtl w:val="0"/>
          </w:rPr>
          <w:t xml:space="preserve">Pokémon Legends: Arceus — a Step Forward and a Step Back - Uppercut</w:t>
        </w:r>
      </w:hyperlink>
      <w:hyperlink r:id="rId32">
        <w:r w:rsidDel="00000000" w:rsidR="00000000" w:rsidRPr="00000000">
          <w:rPr>
            <w:vertAlign w:val="baseline"/>
            <w:rtl w:val="0"/>
          </w:rPr>
          <w:t xml:space="preserve">.</w:t>
        </w:r>
      </w:hyperlink>
      <w:hyperlink r:id="rId33">
        <w:r w:rsidDel="00000000" w:rsidR="00000000" w:rsidRPr="00000000">
          <w:rPr>
            <w:rtl w:val="0"/>
          </w:rPr>
          <w:t xml:space="preserve"> </w:t>
        </w:r>
      </w:hyperlink>
      <w:hyperlink r:id="rId34">
        <w:r w:rsidDel="00000000" w:rsidR="00000000" w:rsidRPr="00000000">
          <w:rPr>
            <w:vertAlign w:val="baseline"/>
            <w:rtl w:val="0"/>
          </w:rPr>
          <w:t xml:space="preserve">https://uppercutcrit.com/pokemon-legends-arceus-a-step-forward-and-a-step-back/</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hyperlink r:id="rId35">
        <w:r w:rsidDel="00000000" w:rsidR="00000000" w:rsidRPr="00000000">
          <w:rPr>
            <w:vertAlign w:val="baseline"/>
            <w:rtl w:val="0"/>
          </w:rPr>
          <w:t xml:space="preserve">Kunnie, J., &amp; Goduka, N. I. (2006). </w:t>
        </w:r>
      </w:hyperlink>
      <w:hyperlink r:id="rId36">
        <w:r w:rsidDel="00000000" w:rsidR="00000000" w:rsidRPr="00000000">
          <w:rPr>
            <w:i w:val="1"/>
            <w:vertAlign w:val="baseline"/>
            <w:rtl w:val="0"/>
          </w:rPr>
          <w:t xml:space="preserve">Indigenous Peoples’ Wisdom and Power: Affirming Our Knowledge Through Narratives</w:t>
        </w:r>
      </w:hyperlink>
      <w:hyperlink r:id="rId37">
        <w:r w:rsidDel="00000000" w:rsidR="00000000" w:rsidRPr="00000000">
          <w:rPr>
            <w:vertAlign w:val="baseline"/>
            <w:rtl w:val="0"/>
          </w:rPr>
          <w:t xml:space="preserve">. Ashgate Publishing, Ltd.</w:t>
        </w:r>
      </w:hyperlink>
      <w:r w:rsidDel="00000000" w:rsidR="00000000" w:rsidRPr="00000000">
        <w:rPr>
          <w:rtl w:val="0"/>
        </w:rPr>
      </w:r>
    </w:p>
    <w:p w:rsidR="00000000" w:rsidDel="00000000" w:rsidP="00000000" w:rsidRDefault="00000000" w:rsidRPr="00000000" w14:paraId="0000001A">
      <w:pPr>
        <w:widowControl w:val="0"/>
        <w:spacing w:line="480" w:lineRule="auto"/>
        <w:ind w:left="720"/>
        <w:rPr>
          <w:color w:val="202122"/>
          <w:sz w:val="21"/>
          <w:szCs w:val="21"/>
          <w:highlight w:val="white"/>
        </w:rPr>
      </w:pPr>
      <w:r w:rsidDel="00000000" w:rsidR="00000000" w:rsidRPr="00000000">
        <w:rPr>
          <w:color w:val="202122"/>
          <w:sz w:val="21"/>
          <w:szCs w:val="21"/>
          <w:highlight w:val="white"/>
          <w:rtl w:val="0"/>
        </w:rPr>
        <w:t xml:space="preserve">Lewallen, A. </w:t>
      </w:r>
      <w:hyperlink r:id="rId38">
        <w:r w:rsidDel="00000000" w:rsidR="00000000" w:rsidRPr="00000000">
          <w:rPr>
            <w:i w:val="1"/>
            <w:rtl w:val="0"/>
          </w:rPr>
          <w:t xml:space="preserve">Indigenous at last! Ainu Grassroots Organizing and the Indigenous Peoples Summit in Ainu Mosir</w:t>
        </w:r>
      </w:hyperlink>
      <w:hyperlink r:id="rId39">
        <w:r w:rsidDel="00000000" w:rsidR="00000000" w:rsidRPr="00000000">
          <w:rPr>
            <w:rtl w:val="0"/>
          </w:rPr>
          <w:t xml:space="preserve">. The Asia-Pacific Journal: Japan Focus. </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hyperlink r:id="rId40">
        <w:r w:rsidDel="00000000" w:rsidR="00000000" w:rsidRPr="00000000">
          <w:rPr>
            <w:vertAlign w:val="baseline"/>
            <w:rtl w:val="0"/>
          </w:rPr>
          <w:t xml:space="preserve">Mishima, K. (1999). The Ghost of Ultra-Nationalism Haunts Japan. </w:t>
        </w:r>
      </w:hyperlink>
      <w:hyperlink r:id="rId41">
        <w:r w:rsidDel="00000000" w:rsidR="00000000" w:rsidRPr="00000000">
          <w:rPr>
            <w:i w:val="1"/>
            <w:vertAlign w:val="baseline"/>
            <w:rtl w:val="0"/>
          </w:rPr>
          <w:t xml:space="preserve">SAIS Review</w:t>
        </w:r>
      </w:hyperlink>
      <w:hyperlink r:id="rId42">
        <w:r w:rsidDel="00000000" w:rsidR="00000000" w:rsidRPr="00000000">
          <w:rPr>
            <w:vertAlign w:val="baseline"/>
            <w:rtl w:val="0"/>
          </w:rPr>
          <w:t xml:space="preserve">, </w:t>
        </w:r>
      </w:hyperlink>
      <w:hyperlink r:id="rId43">
        <w:r w:rsidDel="00000000" w:rsidR="00000000" w:rsidRPr="00000000">
          <w:rPr>
            <w:i w:val="1"/>
            <w:vertAlign w:val="baseline"/>
            <w:rtl w:val="0"/>
          </w:rPr>
          <w:t xml:space="preserve">19</w:t>
        </w:r>
      </w:hyperlink>
      <w:hyperlink r:id="rId44">
        <w:r w:rsidDel="00000000" w:rsidR="00000000" w:rsidRPr="00000000">
          <w:rPr>
            <w:vertAlign w:val="baseline"/>
            <w:rtl w:val="0"/>
          </w:rPr>
          <w:t xml:space="preserve">(2), 251–255. https://doi.org/10.1353/sais.1999.0042</w:t>
        </w:r>
      </w:hyperlink>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t xml:space="preserve"> </w:t>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left"/>
        <w:rPr/>
      </w:pPr>
      <w:hyperlink r:id="rId45">
        <w:r w:rsidDel="00000000" w:rsidR="00000000" w:rsidRPr="00000000">
          <w:rPr>
            <w:color w:val="1155cc"/>
            <w:u w:val="single"/>
            <w:rtl w:val="0"/>
          </w:rPr>
          <w:t xml:space="preserve">https://www.tandfonline.com/doi/full/10.1080/15295036.2022.2080844</w:t>
        </w:r>
      </w:hyperlink>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sectPr>
      <w:headerReference r:id="rId4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rPr/>
    </w:pPr>
    <w:r w:rsidDel="00000000" w:rsidR="00000000" w:rsidRPr="00000000">
      <w:rPr>
        <w:rtl w:val="0"/>
      </w:rPr>
      <w:t xml:space="preserve">Vee Kennedy</w:t>
    </w:r>
  </w:p>
  <w:p w:rsidR="00000000" w:rsidDel="00000000" w:rsidP="00000000" w:rsidRDefault="00000000" w:rsidRPr="00000000" w14:paraId="00000022">
    <w:pPr>
      <w:rPr/>
    </w:pPr>
    <w:r w:rsidDel="00000000" w:rsidR="00000000" w:rsidRPr="00000000">
      <w:rPr>
        <w:rtl w:val="0"/>
      </w:rPr>
      <w:t xml:space="preserve">9/26/2022</w:t>
    </w:r>
  </w:p>
  <w:p w:rsidR="00000000" w:rsidDel="00000000" w:rsidP="00000000" w:rsidRDefault="00000000" w:rsidRPr="00000000" w14:paraId="00000023">
    <w:pPr>
      <w:rPr/>
    </w:pPr>
    <w:r w:rsidDel="00000000" w:rsidR="00000000" w:rsidRPr="00000000">
      <w:rPr>
        <w:rtl w:val="0"/>
      </w:rPr>
      <w:t xml:space="preserve">ENG 6800</w:t>
    </w:r>
  </w:p>
  <w:p w:rsidR="00000000" w:rsidDel="00000000" w:rsidP="00000000" w:rsidRDefault="00000000" w:rsidRPr="00000000" w14:paraId="00000024">
    <w:pPr>
      <w:rPr/>
    </w:pPr>
    <w:r w:rsidDel="00000000" w:rsidR="00000000" w:rsidRPr="00000000">
      <w:rPr>
        <w:rtl w:val="0"/>
      </w:rPr>
      <w:t xml:space="preserve">Salter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5VEXLd" TargetMode="External"/><Relationship Id="rId20" Type="http://schemas.openxmlformats.org/officeDocument/2006/relationships/hyperlink" Target="https://www.zotero.org/google-docs/?5VEXLd" TargetMode="External"/><Relationship Id="rId42" Type="http://schemas.openxmlformats.org/officeDocument/2006/relationships/hyperlink" Target="https://www.zotero.org/google-docs/?5VEXLd" TargetMode="External"/><Relationship Id="rId41" Type="http://schemas.openxmlformats.org/officeDocument/2006/relationships/hyperlink" Target="https://www.zotero.org/google-docs/?5VEXLd" TargetMode="External"/><Relationship Id="rId22" Type="http://schemas.openxmlformats.org/officeDocument/2006/relationships/hyperlink" Target="https://www.zotero.org/google-docs/?5VEXLd" TargetMode="External"/><Relationship Id="rId44" Type="http://schemas.openxmlformats.org/officeDocument/2006/relationships/hyperlink" Target="https://www.zotero.org/google-docs/?5VEXLd" TargetMode="External"/><Relationship Id="rId21" Type="http://schemas.openxmlformats.org/officeDocument/2006/relationships/hyperlink" Target="https://www.zotero.org/google-docs/?5VEXLd" TargetMode="External"/><Relationship Id="rId43" Type="http://schemas.openxmlformats.org/officeDocument/2006/relationships/hyperlink" Target="https://www.zotero.org/google-docs/?5VEXLd" TargetMode="External"/><Relationship Id="rId24" Type="http://schemas.openxmlformats.org/officeDocument/2006/relationships/hyperlink" Target="https://www.zotero.org/google-docs/?5VEXLd" TargetMode="External"/><Relationship Id="rId46" Type="http://schemas.openxmlformats.org/officeDocument/2006/relationships/header" Target="header1.xml"/><Relationship Id="rId23" Type="http://schemas.openxmlformats.org/officeDocument/2006/relationships/hyperlink" Target="https://www.zotero.org/google-docs/?5VEXLd" TargetMode="External"/><Relationship Id="rId45" Type="http://schemas.openxmlformats.org/officeDocument/2006/relationships/hyperlink" Target="https://www.tandfonline.com/doi/full/10.1080/15295036.2022.20808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5VEXLd" TargetMode="External"/><Relationship Id="rId26" Type="http://schemas.openxmlformats.org/officeDocument/2006/relationships/hyperlink" Target="https://www.zotero.org/google-docs/?5VEXLd" TargetMode="External"/><Relationship Id="rId25" Type="http://schemas.openxmlformats.org/officeDocument/2006/relationships/hyperlink" Target="https://www.zotero.org/google-docs/?5VEXLd" TargetMode="External"/><Relationship Id="rId28" Type="http://schemas.openxmlformats.org/officeDocument/2006/relationships/hyperlink" Target="https://www.zotero.org/google-docs/?5VEXLd" TargetMode="External"/><Relationship Id="rId27" Type="http://schemas.openxmlformats.org/officeDocument/2006/relationships/hyperlink" Target="https://www.zotero.org/google-docs/?5VEXLd" TargetMode="External"/><Relationship Id="rId5" Type="http://schemas.openxmlformats.org/officeDocument/2006/relationships/styles" Target="styles.xml"/><Relationship Id="rId6" Type="http://schemas.openxmlformats.org/officeDocument/2006/relationships/hyperlink" Target="https://www.zotero.org/google-docs/?5VEXLd" TargetMode="External"/><Relationship Id="rId29" Type="http://schemas.openxmlformats.org/officeDocument/2006/relationships/hyperlink" Target="https://www.zotero.org/google-docs/?5VEXLd" TargetMode="External"/><Relationship Id="rId7" Type="http://schemas.openxmlformats.org/officeDocument/2006/relationships/hyperlink" Target="https://www.zotero.org/google-docs/?5VEXLd" TargetMode="External"/><Relationship Id="rId8" Type="http://schemas.openxmlformats.org/officeDocument/2006/relationships/hyperlink" Target="https://www.zotero.org/google-docs/?5VEXLd" TargetMode="External"/><Relationship Id="rId31" Type="http://schemas.openxmlformats.org/officeDocument/2006/relationships/hyperlink" Target="https://www.zotero.org/google-docs/?5VEXLd" TargetMode="External"/><Relationship Id="rId30" Type="http://schemas.openxmlformats.org/officeDocument/2006/relationships/hyperlink" Target="https://www.zotero.org/google-docs/?5VEXLd" TargetMode="External"/><Relationship Id="rId11" Type="http://schemas.openxmlformats.org/officeDocument/2006/relationships/hyperlink" Target="https://www.zotero.org/google-docs/?5VEXLd" TargetMode="External"/><Relationship Id="rId33" Type="http://schemas.openxmlformats.org/officeDocument/2006/relationships/hyperlink" Target="https://www.zotero.org/google-docs/?5VEXLd" TargetMode="External"/><Relationship Id="rId10" Type="http://schemas.openxmlformats.org/officeDocument/2006/relationships/hyperlink" Target="https://www.zotero.org/google-docs/?5VEXLd" TargetMode="External"/><Relationship Id="rId32" Type="http://schemas.openxmlformats.org/officeDocument/2006/relationships/hyperlink" Target="https://www.zotero.org/google-docs/?5VEXLd" TargetMode="External"/><Relationship Id="rId13" Type="http://schemas.openxmlformats.org/officeDocument/2006/relationships/hyperlink" Target="https://www.zotero.org/google-docs/?5VEXLd" TargetMode="External"/><Relationship Id="rId35" Type="http://schemas.openxmlformats.org/officeDocument/2006/relationships/hyperlink" Target="https://www.zotero.org/google-docs/?5VEXLd" TargetMode="External"/><Relationship Id="rId12" Type="http://schemas.openxmlformats.org/officeDocument/2006/relationships/hyperlink" Target="https://www.zotero.org/google-docs/?5VEXLd" TargetMode="External"/><Relationship Id="rId34" Type="http://schemas.openxmlformats.org/officeDocument/2006/relationships/hyperlink" Target="https://www.zotero.org/google-docs/?5VEXLd" TargetMode="External"/><Relationship Id="rId15" Type="http://schemas.openxmlformats.org/officeDocument/2006/relationships/hyperlink" Target="https://www.zotero.org/google-docs/?5VEXLd" TargetMode="External"/><Relationship Id="rId37" Type="http://schemas.openxmlformats.org/officeDocument/2006/relationships/hyperlink" Target="https://www.zotero.org/google-docs/?5VEXLd" TargetMode="External"/><Relationship Id="rId14" Type="http://schemas.openxmlformats.org/officeDocument/2006/relationships/hyperlink" Target="https://www.zotero.org/google-docs/?5VEXLd" TargetMode="External"/><Relationship Id="rId36" Type="http://schemas.openxmlformats.org/officeDocument/2006/relationships/hyperlink" Target="https://www.zotero.org/google-docs/?5VEXLd" TargetMode="External"/><Relationship Id="rId17" Type="http://schemas.openxmlformats.org/officeDocument/2006/relationships/hyperlink" Target="https://www.zotero.org/google-docs/?5VEXLd" TargetMode="External"/><Relationship Id="rId39" Type="http://schemas.openxmlformats.org/officeDocument/2006/relationships/hyperlink" Target="https://www.zotero.org/google-docs/?5VEXLd" TargetMode="External"/><Relationship Id="rId16" Type="http://schemas.openxmlformats.org/officeDocument/2006/relationships/hyperlink" Target="https://www.zotero.org/google-docs/?5VEXLd" TargetMode="External"/><Relationship Id="rId38" Type="http://schemas.openxmlformats.org/officeDocument/2006/relationships/hyperlink" Target="https://www.zotero.org/google-docs/?5VEXLd" TargetMode="External"/><Relationship Id="rId19" Type="http://schemas.openxmlformats.org/officeDocument/2006/relationships/hyperlink" Target="https://www.zotero.org/google-docs/?5VEXLd" TargetMode="External"/><Relationship Id="rId18" Type="http://schemas.openxmlformats.org/officeDocument/2006/relationships/hyperlink" Target="https://www.zotero.org/google-docs/?5VEX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