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line="240" w:lineRule="auto"/>
        <w:rPr>
          <w:rFonts w:ascii="Helvetica Neue" w:cs="Helvetica Neue" w:eastAsia="Helvetica Neue" w:hAnsi="Helvetica Neue"/>
          <w:b w:val="1"/>
          <w:color w:val="2d3b45"/>
          <w:sz w:val="17"/>
          <w:szCs w:val="17"/>
        </w:rPr>
      </w:pPr>
      <w:r w:rsidDel="00000000" w:rsidR="00000000" w:rsidRPr="00000000">
        <w:rPr>
          <w:rFonts w:ascii="Helvetica Neue" w:cs="Helvetica Neue" w:eastAsia="Helvetica Neue" w:hAnsi="Helvetica Neue"/>
          <w:color w:val="2d3b45"/>
          <w:sz w:val="17"/>
          <w:szCs w:val="17"/>
          <w:rtl w:val="0"/>
        </w:rPr>
        <w:t xml:space="preserve">Good progress incorporating some of the sources we talked about</w:t>
      </w:r>
      <w:r w:rsidDel="00000000" w:rsidR="00000000" w:rsidRPr="00000000">
        <w:rPr>
          <w:rFonts w:ascii="Helvetica Neue" w:cs="Helvetica Neue" w:eastAsia="Helvetica Neue" w:hAnsi="Helvetica Neue"/>
          <w:color w:val="2d3b45"/>
          <w:sz w:val="17"/>
          <w:szCs w:val="17"/>
          <w:highlight w:val="yellow"/>
          <w:rtl w:val="0"/>
        </w:rPr>
        <w:t xml:space="preserve">, but remember </w:t>
      </w:r>
      <w:r w:rsidDel="00000000" w:rsidR="00000000" w:rsidRPr="00000000">
        <w:rPr>
          <w:rFonts w:ascii="Helvetica Neue" w:cs="Helvetica Neue" w:eastAsia="Helvetica Neue" w:hAnsi="Helvetica Neue"/>
          <w:b w:val="1"/>
          <w:color w:val="2d3b45"/>
          <w:sz w:val="17"/>
          <w:szCs w:val="17"/>
          <w:highlight w:val="yellow"/>
          <w:rtl w:val="0"/>
        </w:rPr>
        <w:t xml:space="preserve">you need two sources from the course texts as well -</w:t>
      </w:r>
      <w:r w:rsidDel="00000000" w:rsidR="00000000" w:rsidRPr="00000000">
        <w:rPr>
          <w:rFonts w:ascii="Helvetica Neue" w:cs="Helvetica Neue" w:eastAsia="Helvetica Neue" w:hAnsi="Helvetica Neue"/>
          <w:b w:val="1"/>
          <w:color w:val="2d3b45"/>
          <w:sz w:val="17"/>
          <w:szCs w:val="17"/>
          <w:rtl w:val="0"/>
        </w:rPr>
        <w:t xml:space="preserve"> Nakamura seems like the obvious choice here given the visual rhetoric of this work, but you could also think about connections to postcolonial frameworks in debates in DH.</w:t>
      </w:r>
      <w:r w:rsidDel="00000000" w:rsidR="00000000" w:rsidRPr="00000000">
        <w:rPr>
          <w:rFonts w:ascii="Helvetica Neue" w:cs="Helvetica Neue" w:eastAsia="Helvetica Neue" w:hAnsi="Helvetica Neue"/>
          <w:color w:val="2d3b45"/>
          <w:sz w:val="17"/>
          <w:szCs w:val="17"/>
          <w:rtl w:val="0"/>
        </w:rPr>
        <w:t xml:space="preserve"> You'll also need more precise sources and engagement with other works that discuss Pokemon specifically as you go </w:t>
      </w:r>
      <w:r w:rsidDel="00000000" w:rsidR="00000000" w:rsidRPr="00000000">
        <w:rPr>
          <w:rFonts w:ascii="Helvetica Neue" w:cs="Helvetica Neue" w:eastAsia="Helvetica Neue" w:hAnsi="Helvetica Neue"/>
          <w:b w:val="1"/>
          <w:color w:val="2d3b45"/>
          <w:sz w:val="17"/>
          <w:szCs w:val="17"/>
          <w:highlight w:val="yellow"/>
          <w:rtl w:val="0"/>
        </w:rPr>
        <w:t xml:space="preserve">- are you thinking Games &amp; Culture for your journal at this point?</w:t>
      </w:r>
      <w:r w:rsidDel="00000000" w:rsidR="00000000" w:rsidRPr="00000000">
        <w:rPr>
          <w:rtl w:val="0"/>
        </w:rPr>
      </w:r>
    </w:p>
    <w:p w:rsidR="00000000" w:rsidDel="00000000" w:rsidP="00000000" w:rsidRDefault="00000000" w:rsidRPr="00000000" w14:paraId="00000002">
      <w:pPr>
        <w:shd w:fill="ffffff" w:val="clear"/>
        <w:spacing w:after="0" w:line="240" w:lineRule="auto"/>
        <w:jc w:val="right"/>
        <w:rPr>
          <w:rFonts w:ascii="Helvetica Neue" w:cs="Helvetica Neue" w:eastAsia="Helvetica Neue" w:hAnsi="Helvetica Neue"/>
          <w:color w:val="737373"/>
          <w:sz w:val="14"/>
          <w:szCs w:val="14"/>
        </w:rPr>
      </w:pPr>
      <w:r w:rsidDel="00000000" w:rsidR="00000000" w:rsidRPr="00000000">
        <w:rPr>
          <w:rFonts w:ascii="Helvetica Neue" w:cs="Helvetica Neue" w:eastAsia="Helvetica Neue" w:hAnsi="Helvetica Neue"/>
          <w:color w:val="737373"/>
          <w:sz w:val="14"/>
          <w:szCs w:val="14"/>
          <w:rtl w:val="0"/>
        </w:rPr>
        <w:t xml:space="preserve">Anastasia Salter, Oct 20 at 12:27pm</w:t>
      </w:r>
    </w:p>
    <w:p w:rsidR="00000000" w:rsidDel="00000000" w:rsidP="00000000" w:rsidRDefault="00000000" w:rsidRPr="00000000" w14:paraId="00000003">
      <w:pPr>
        <w:shd w:fill="ffffff" w:val="clear"/>
        <w:spacing w:after="0" w:line="240" w:lineRule="auto"/>
        <w:rPr>
          <w:rFonts w:ascii="Helvetica Neue" w:cs="Helvetica Neue" w:eastAsia="Helvetica Neue" w:hAnsi="Helvetica Neue"/>
          <w:b w:val="1"/>
          <w:color w:val="2d3b45"/>
          <w:sz w:val="17"/>
          <w:szCs w:val="17"/>
        </w:rPr>
      </w:pPr>
      <w:r w:rsidDel="00000000" w:rsidR="00000000" w:rsidRPr="00000000">
        <w:rPr>
          <w:rFonts w:ascii="Helvetica Neue" w:cs="Helvetica Neue" w:eastAsia="Helvetica Neue" w:hAnsi="Helvetica Neue"/>
          <w:b w:val="1"/>
          <w:color w:val="2d3b45"/>
          <w:sz w:val="17"/>
          <w:szCs w:val="17"/>
          <w:rtl w:val="0"/>
        </w:rPr>
        <w:t xml:space="preserve">Think about incorporating more into how the Pokemon franchise's representations have been received across the field: you might find Bainbridge's piece on the Pokemon world interesting, although it emphasizes the environmental relationship: https://doi.org/10.1177/1367877913501240 - I also think you'll need to confront the role of localization in this franchise more head-on as you are framing your reading of it, here's an essay that might help with that framing: http://gamestudies.org/2203/articles/fontolan_malazita_dacosta</w:t>
      </w:r>
    </w:p>
    <w:p w:rsidR="00000000" w:rsidDel="00000000" w:rsidP="00000000" w:rsidRDefault="00000000" w:rsidRPr="00000000" w14:paraId="00000004">
      <w:pPr>
        <w:shd w:fill="ffffff" w:val="clear"/>
        <w:spacing w:after="0" w:line="240" w:lineRule="auto"/>
        <w:jc w:val="right"/>
        <w:rPr>
          <w:rFonts w:ascii="Helvetica Neue" w:cs="Helvetica Neue" w:eastAsia="Helvetica Neue" w:hAnsi="Helvetica Neue"/>
          <w:color w:val="737373"/>
          <w:sz w:val="14"/>
          <w:szCs w:val="14"/>
        </w:rPr>
      </w:pPr>
      <w:r w:rsidDel="00000000" w:rsidR="00000000" w:rsidRPr="00000000">
        <w:rPr>
          <w:rFonts w:ascii="Helvetica Neue" w:cs="Helvetica Neue" w:eastAsia="Helvetica Neue" w:hAnsi="Helvetica Neue"/>
          <w:color w:val="737373"/>
          <w:sz w:val="14"/>
          <w:szCs w:val="14"/>
          <w:rtl w:val="0"/>
        </w:rPr>
        <w:t xml:space="preserve">Anastasia Salter, Oct 20 at 12:32pm</w:t>
      </w:r>
    </w:p>
    <w:p w:rsidR="00000000" w:rsidDel="00000000" w:rsidP="00000000" w:rsidRDefault="00000000" w:rsidRPr="00000000" w14:paraId="00000005">
      <w:pPr>
        <w:shd w:fill="ffffff" w:val="clear"/>
        <w:spacing w:after="0" w:line="240" w:lineRule="auto"/>
        <w:rPr>
          <w:rFonts w:ascii="Helvetica Neue" w:cs="Helvetica Neue" w:eastAsia="Helvetica Neue" w:hAnsi="Helvetica Neue"/>
          <w:color w:val="2d3b45"/>
          <w:sz w:val="17"/>
          <w:szCs w:val="17"/>
        </w:rPr>
      </w:pPr>
      <w:r w:rsidDel="00000000" w:rsidR="00000000" w:rsidRPr="00000000">
        <w:rPr>
          <w:rFonts w:ascii="Helvetica Neue" w:cs="Helvetica Neue" w:eastAsia="Helvetica Neue" w:hAnsi="Helvetica Neue"/>
          <w:color w:val="2d3b45"/>
          <w:sz w:val="17"/>
          <w:szCs w:val="17"/>
          <w:rtl w:val="0"/>
        </w:rPr>
        <w:t xml:space="preserve">Keep in mind the conversation we had about authorial positioning when making statements like "contemporary Japan has often done a poor job of acknowledging its colonial past" -</w:t>
      </w:r>
      <w:r w:rsidDel="00000000" w:rsidR="00000000" w:rsidRPr="00000000">
        <w:rPr>
          <w:rFonts w:ascii="Helvetica Neue" w:cs="Helvetica Neue" w:eastAsia="Helvetica Neue" w:hAnsi="Helvetica Neue"/>
          <w:b w:val="1"/>
          <w:color w:val="2d3b45"/>
          <w:sz w:val="17"/>
          <w:szCs w:val="17"/>
          <w:rtl w:val="0"/>
        </w:rPr>
        <w:t xml:space="preserve"> I mean, so have all empires, but consider relying much more on external sources here and eliminate the blockquote. </w:t>
      </w:r>
      <w:r w:rsidDel="00000000" w:rsidR="00000000" w:rsidRPr="00000000">
        <w:rPr>
          <w:rFonts w:ascii="Helvetica Neue" w:cs="Helvetica Neue" w:eastAsia="Helvetica Neue" w:hAnsi="Helvetica Neue"/>
          <w:b w:val="1"/>
          <w:color w:val="2d3b45"/>
          <w:sz w:val="17"/>
          <w:szCs w:val="17"/>
          <w:highlight w:val="yellow"/>
          <w:rtl w:val="0"/>
        </w:rPr>
        <w:t xml:space="preserve">Organization-wise, you'll also need to make a much stronger connection to scholarship on this history of representation - background on the history itself isn't part of your literature review, that's context for the case study / reading of the game.</w:t>
      </w:r>
      <w:r w:rsidDel="00000000" w:rsidR="00000000" w:rsidRPr="00000000">
        <w:rPr>
          <w:rtl w:val="0"/>
        </w:rPr>
      </w:r>
    </w:p>
    <w:p w:rsidR="00000000" w:rsidDel="00000000" w:rsidP="00000000" w:rsidRDefault="00000000" w:rsidRPr="00000000" w14:paraId="00000006">
      <w:pPr>
        <w:shd w:fill="ffffff" w:val="clear"/>
        <w:spacing w:after="0" w:line="240" w:lineRule="auto"/>
        <w:jc w:val="right"/>
        <w:rPr>
          <w:rFonts w:ascii="Helvetica Neue" w:cs="Helvetica Neue" w:eastAsia="Helvetica Neue" w:hAnsi="Helvetica Neue"/>
          <w:color w:val="737373"/>
          <w:sz w:val="14"/>
          <w:szCs w:val="14"/>
        </w:rPr>
      </w:pPr>
      <w:r w:rsidDel="00000000" w:rsidR="00000000" w:rsidRPr="00000000">
        <w:rPr>
          <w:rFonts w:ascii="Helvetica Neue" w:cs="Helvetica Neue" w:eastAsia="Helvetica Neue" w:hAnsi="Helvetica Neue"/>
          <w:color w:val="737373"/>
          <w:sz w:val="14"/>
          <w:szCs w:val="14"/>
          <w:rtl w:val="0"/>
        </w:rPr>
        <w:t xml:space="preserve">Anastasia Salter, Oct 20 at 12:34pm</w:t>
      </w:r>
    </w:p>
    <w:p w:rsidR="00000000" w:rsidDel="00000000" w:rsidP="00000000" w:rsidRDefault="00000000" w:rsidRPr="00000000" w14:paraId="00000007">
      <w:pPr>
        <w:shd w:fill="ffffff" w:val="clear"/>
        <w:spacing w:after="0" w:line="240" w:lineRule="auto"/>
        <w:rPr>
          <w:rFonts w:ascii="Helvetica Neue" w:cs="Helvetica Neue" w:eastAsia="Helvetica Neue" w:hAnsi="Helvetica Neue"/>
          <w:b w:val="1"/>
          <w:color w:val="2d3b45"/>
          <w:sz w:val="17"/>
          <w:szCs w:val="17"/>
        </w:rPr>
      </w:pPr>
      <w:r w:rsidDel="00000000" w:rsidR="00000000" w:rsidRPr="00000000">
        <w:rPr>
          <w:rFonts w:ascii="Helvetica Neue" w:cs="Helvetica Neue" w:eastAsia="Helvetica Neue" w:hAnsi="Helvetica Neue"/>
          <w:color w:val="2d3b45"/>
          <w:sz w:val="17"/>
          <w:szCs w:val="17"/>
          <w:rtl w:val="0"/>
        </w:rPr>
        <w:t xml:space="preserve">For an example of a literature review confronting a similar topic</w:t>
      </w:r>
      <w:r w:rsidDel="00000000" w:rsidR="00000000" w:rsidRPr="00000000">
        <w:rPr>
          <w:rFonts w:ascii="Helvetica Neue" w:cs="Helvetica Neue" w:eastAsia="Helvetica Neue" w:hAnsi="Helvetica Neue"/>
          <w:b w:val="1"/>
          <w:color w:val="2d3b45"/>
          <w:sz w:val="17"/>
          <w:szCs w:val="17"/>
          <w:rtl w:val="0"/>
        </w:rPr>
        <w:t xml:space="preserve">, take a look at Hutchinson's work on colonial rhetoric in Zelda: </w:t>
      </w:r>
      <w:r w:rsidDel="00000000" w:rsidR="00000000" w:rsidRPr="00000000">
        <w:rPr>
          <w:rFonts w:ascii="Helvetica Neue" w:cs="Helvetica Neue" w:eastAsia="Helvetica Neue" w:hAnsi="Helvetica Neue"/>
          <w:b w:val="1"/>
          <w:color w:val="2d3b45"/>
          <w:sz w:val="17"/>
          <w:szCs w:val="17"/>
          <w:highlight w:val="yellow"/>
          <w:rtl w:val="0"/>
        </w:rPr>
        <w:t xml:space="preserve">http://gamestudies.org/2103/articles/hutchinson</w:t>
      </w:r>
      <w:r w:rsidDel="00000000" w:rsidR="00000000" w:rsidRPr="00000000">
        <w:rPr>
          <w:rFonts w:ascii="Helvetica Neue" w:cs="Helvetica Neue" w:eastAsia="Helvetica Neue" w:hAnsi="Helvetica Neue"/>
          <w:b w:val="1"/>
          <w:color w:val="2d3b45"/>
          <w:sz w:val="17"/>
          <w:szCs w:val="17"/>
          <w:rtl w:val="0"/>
        </w:rPr>
        <w:t xml:space="preserve"> - this is a great example of using observant play as a method and bringing in work on Japanese games into the conversation.</w:t>
      </w:r>
    </w:p>
    <w:p w:rsidR="00000000" w:rsidDel="00000000" w:rsidP="00000000" w:rsidRDefault="00000000" w:rsidRPr="00000000" w14:paraId="00000008">
      <w:pPr>
        <w:shd w:fill="ffffff" w:val="clear"/>
        <w:spacing w:after="0" w:line="240" w:lineRule="auto"/>
        <w:jc w:val="righ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color w:val="737373"/>
          <w:sz w:val="14"/>
          <w:szCs w:val="14"/>
          <w:rtl w:val="0"/>
        </w:rPr>
        <w:t xml:space="preserve">Anastasia Salter, Oct 20 at 12:36pm</w:t>
      </w: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b w:val="1"/>
          <w:color w:val="444444"/>
          <w:sz w:val="17"/>
          <w:szCs w:val="17"/>
          <w:highlight w:val="white"/>
        </w:rPr>
      </w:pPr>
      <w:r w:rsidDel="00000000" w:rsidR="00000000" w:rsidRPr="00000000">
        <w:rPr>
          <w:rFonts w:ascii="Helvetica Neue" w:cs="Helvetica Neue" w:eastAsia="Helvetica Neue" w:hAnsi="Helvetica Neue"/>
          <w:b w:val="1"/>
          <w:color w:val="444444"/>
          <w:sz w:val="17"/>
          <w:szCs w:val="17"/>
          <w:highlight w:val="white"/>
          <w:rtl w:val="0"/>
        </w:rPr>
        <w:t xml:space="preserve">Nice improvements! Think about where you might draw in some sources in your description of Pokemon as a game: you might find it helpful to look at NWF's latest book on mechanics, or to make comparisons to other analysis on Pokemon or similar genre games in that section. Right now, the background is a bit too much description without a connection to a framework. </w:t>
      </w:r>
    </w:p>
    <w:p w:rsidR="00000000" w:rsidDel="00000000" w:rsidP="00000000" w:rsidRDefault="00000000" w:rsidRPr="00000000" w14:paraId="0000000A">
      <w:pPr>
        <w:rPr>
          <w:rFonts w:ascii="Helvetica Neue" w:cs="Helvetica Neue" w:eastAsia="Helvetica Neue" w:hAnsi="Helvetica Neue"/>
          <w:b w:val="1"/>
          <w:sz w:val="17"/>
          <w:szCs w:val="17"/>
        </w:rPr>
      </w:pPr>
      <w:r w:rsidDel="00000000" w:rsidR="00000000" w:rsidRPr="00000000">
        <w:rPr>
          <w:rFonts w:ascii="Helvetica Neue" w:cs="Helvetica Neue" w:eastAsia="Helvetica Neue" w:hAnsi="Helvetica Neue"/>
          <w:b w:val="1"/>
          <w:color w:val="444444"/>
          <w:sz w:val="17"/>
          <w:szCs w:val="17"/>
          <w:highlight w:val="white"/>
          <w:rtl w:val="0"/>
        </w:rPr>
        <w:t xml:space="preserve">You might find some of the work on Zelda helpful for expanding on the connections you're making through Hutchinson as well as the observations about the game itself: Consalvo's piece - https://doi.org/10.1177/1527476403253993 - and Ford's come to mind: http://gamestudies.org/2104/articles/dom_ford</w:t>
      </w: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color w:val="000000"/>
          <w:sz w:val="18"/>
          <w:szCs w:val="18"/>
        </w:rPr>
      </w:pPr>
      <w:bookmarkStart w:colFirst="0" w:colLast="0" w:name="_heading=h.gjdgxs" w:id="0"/>
      <w:bookmarkEnd w:id="0"/>
      <w:r w:rsidDel="00000000" w:rsidR="00000000" w:rsidRPr="00000000">
        <w:rPr>
          <w:rFonts w:ascii="Helvetica Neue" w:cs="Helvetica Neue" w:eastAsia="Helvetica Neue" w:hAnsi="Helvetica Neue"/>
          <w:color w:val="000000"/>
          <w:sz w:val="18"/>
          <w:szCs w:val="18"/>
          <w:rtl w:val="0"/>
        </w:rPr>
        <w:t xml:space="preserve">“In addition, the rhetoric of the digital divide tends to look only at the color of cyberspace’s users. To formulate a critical practice that takes account of the nuances of participation online in terms of identity, power, and race, it is vital to know as well the specific conditions under which new media are produced as well as consumed, circulated, and exchanged. Interactivity goes both ways as well; Web sites create users who can interact with them, just as texts create their readers. 86</w:t>
        <w:br w:type="textWrapping"/>
        <w:br w:type="textWrapping"/>
        <w:t xml:space="preserve">APA 7th Edition (American Psychological Assoc.)</w:t>
        <w:br w:type="textWrapping"/>
        <w:t xml:space="preserve">Lisa Nakamura. (2008). Digitizing Race : Visual Cultures of the Internet. Univ Of Minnesota Press.</w:t>
      </w:r>
    </w:p>
    <w:p w:rsidR="00000000" w:rsidDel="00000000" w:rsidP="00000000" w:rsidRDefault="00000000" w:rsidRPr="00000000" w14:paraId="0000000C">
      <w:pPr>
        <w:rPr>
          <w:rFonts w:ascii="Helvetica Neue" w:cs="Helvetica Neue" w:eastAsia="Helvetica Neue" w:hAnsi="Helvetica Neue"/>
          <w:color w:val="000000"/>
          <w:sz w:val="18"/>
          <w:szCs w:val="18"/>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Recent years have seen a welcome increase in the amount of scholarly writing about Internet adoption in the context of non-Western cultures and languages. Rishab Aiyer Ghosh’s anthology Code: Collaborative Owner- ship and the Digital Economy does not focus on the Internet per se but is exemplary in the way that it improves on earlier formulations of the “digital divide” as a problem to be “fixed” by giving everyone access to technology. Instead of using the language of cultural development or uplift in the con- text of digital media, Code examines the negotiations that ensue when cul- tural objects that have never been conceived of as property become so as a result of fast networks of cross-cultural transmission. As Faye Ginsburg notes in her study of video, film, and television diffusion in the context of indigenous and minority populations, the question that “haunts much of the research and debate on the topic of cross-cultural spread of media” is “whether minority or dominated subjects can assimilate media to their own cultural and political concerns or are inevitably compromised by its pres- ence.” 34 The range and tone of responses to cyberspace reflect a deep split in the ways that this new communication technology is viewed by non-Western cultures and races. 87Ziauddin Sardar sees the Internet as a tool of imperial- ism, and in “Alt.civilizations.faq: Cyberspace as the Darker Side of the West” he asserts that it is simply the newest example on a continuum of im- perializing practices perpetrated by the West in its ongoing domination of other cultures. 35 He regards cyberspace as a medium that can only transmit imperialistic ideologies; its background in military research and high cost of access make it intrinsically a Western technology with no potential for resistance by people of color. In short, he sees the Internet as a medium that is inherently flawed by its association with modernity, tropes of colonialism, and hypercapitalism.</w:t>
        <w:br w:type="textWrapping"/>
        <w:br w:type="textWrapping"/>
        <w:t xml:space="preserve">APA 7th Edition (American Psychological Assoc.)</w:t>
        <w:br w:type="textWrapping"/>
        <w:t xml:space="preserve">Lisa Nakamura. (2008). Digitizing Race : Visual Cultures of the Internet. Univ Of Minnesota Press.</w:t>
        <w:br w:type="textWrapping"/>
        <w:br w:type="textWrapping"/>
        <w:t xml:space="preserve">APA 7th Edition (American Psychological Assoc.)</w:t>
        <w:br w:type="textWrapping"/>
        <w:t xml:space="preserve">Lisa Nakamura. (2008). Digitizing Race : Visual Cultures of the Internet. Univ Of Minnesota Press.</w:t>
        <w:br w:type="textWrapping"/>
        <w:br w:type="textWrapping"/>
        <w:t xml:space="preserve">APA 7th Edition (American Psychological Assoc.)</w:t>
        <w:br w:type="textWrapping"/>
        <w:t xml:space="preserve">Lisa Nakamura. (2008). Digitizing Race : Visual Cultures of the Internet. Univ Of Minnesota Press.</w:t>
      </w:r>
    </w:p>
    <w:p w:rsidR="00000000" w:rsidDel="00000000" w:rsidP="00000000" w:rsidRDefault="00000000" w:rsidRPr="00000000" w14:paraId="0000000E">
      <w:pPr>
        <w:rPr>
          <w:rFonts w:ascii="Helvetica Neue" w:cs="Helvetica Neue" w:eastAsia="Helvetica Neue" w:hAnsi="Helvetica Neue"/>
          <w:color w:val="000000"/>
          <w:sz w:val="18"/>
          <w:szCs w:val="18"/>
        </w:rPr>
      </w:pP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He asserts that “when [nations] meet as oppressor and oppressed, as for instance under imperialism, then their languages can- not experience a genuinely democratic encounter. The oppressor nation uses language as a means of enriching itself in the oppressed language.” 40 For him, language is ineluctably a “carrier of national cultures,” and he holds the line against the attractions of hybridity. 41 For Ngugi, African literature must be written in African languages. He and Sardar share a commitment to cultural authenticity and a wariness of Western media forms that is based in a deep awareness of the historical abuses of the past (and the present). 91 </w:t>
        <w:br w:type="textWrapping"/>
        <w:br w:type="textWrapping"/>
        <w:t xml:space="preserve">APA 7th Edition (American Psychological Assoc.)</w:t>
        <w:br w:type="textWrapping"/>
        <w:t xml:space="preserve">Lisa Nakamura. (2008). Digitizing Race : Visual Cultures of the Internet. Univ Of Minnesota Press.</w:t>
      </w:r>
    </w:p>
    <w:p w:rsidR="00000000" w:rsidDel="00000000" w:rsidP="00000000" w:rsidRDefault="00000000" w:rsidRPr="00000000" w14:paraId="00000010">
      <w:pPr>
        <w:rPr>
          <w:rFonts w:ascii="Helvetica Neue" w:cs="Helvetica Neue" w:eastAsia="Helvetica Neue" w:hAnsi="Helvetica Neue"/>
          <w:color w:val="000000"/>
          <w:sz w:val="18"/>
          <w:szCs w:val="18"/>
        </w:rPr>
      </w:pP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Salman Rushdie occupies the other side of this debate. He asserts that “English has become an Indian language” and that “the true Indian litera- ture of the first postcolonial half century has been made in the language the British left behind.”43 Rushdie describes Indian literature written in English (which he terms “Indo-Anglian” literature) in language that evokes com- mercial discourse about the Internet: he calls English “the most powerful medium of communication in the world” and lauds Anglophone literature as “a means of holding a conversation with [it].” 44 He acknowledges the role of high technologies in this imperative, saying that “the new Silicon Valley–style boom in computer technology which is transforming the economies of Bangalore and Madras has made English in those cities an even more important language than before.” Hence the economic benefits to using Western media forms are presented as a strong reason that Indians should embrace English; Rushdie’s position, however, is based on a much more radical notion, which is that India has “colonized” English, rather than the other way around. He anticipates critics such as Ngugi, writing that “for some Indian critics, English-language Indian writing will never be more than a postcolonial anomaly—the bastard child of Empire, sired on India by the departing British.” Its continuing use of the old colonial tongue is seen as a fatal flaw that renders it forever inauthentic. Again, this painful sensitivity about the possible loss of cultural purity that characterizes Sarai’s stance is weighed against the benefits of entering a “conversation with the world,” and the “world” wins. While Sarai acknowledges the possible losses to Hindi identity that Internet adoption may bring about, Rushdie is strik- ingly unambivalent about the superiority of English as a literary language, especially in the hands of diasporic writers, but also aware of accusations Alllooksame? 91 that such literature is “deracinated” and “Westernized.”45 And all throughout his discussion in the New Yorker article titled “Damme, This Is the Oriental Scene for You!” in which he formulates this position, he makes no mention of race whatsoever. 91-92</w:t>
        <w:br w:type="textWrapping"/>
        <w:br w:type="textWrapping"/>
        <w:t xml:space="preserve">APA 7th Edition (American Psychological Assoc.)</w:t>
        <w:br w:type="textWrapping"/>
        <w:t xml:space="preserve">Lisa Nakamura. (2008). Digitizing Race : Visual Cultures of the Internet. Univ Of Minnesota Press.</w:t>
      </w:r>
    </w:p>
    <w:p w:rsidR="00000000" w:rsidDel="00000000" w:rsidP="00000000" w:rsidRDefault="00000000" w:rsidRPr="00000000" w14:paraId="00000012">
      <w:pPr>
        <w:rPr>
          <w:rFonts w:ascii="Helvetica Neue" w:cs="Helvetica Neue" w:eastAsia="Helvetica Neue" w:hAnsi="Helvetica Neue"/>
          <w:color w:val="000000"/>
          <w:sz w:val="18"/>
          <w:szCs w:val="18"/>
        </w:rPr>
      </w:pP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The rift between the two camps in postcolonial literary theory maps well onto the impasse between thinkers in postcolonial Internet theory. On the one hand, some fear miscegenation between media and worry that uneven encounters between “pure” non-Western cultural forms and “tainted” elec- tronic media must necessarily result in a muddled, deracinated mediascape. Others seem to welcome the opportunity that multimedia may give them to produce new cultural forms which are hybrid, multicultural, and by impli- cation multiracial. This is not to say that cultural authenticists are con- demning racial muddling or mixing along with media muddling, or saying that one is the effect of the other, but rather that the rhetoric of purity and the discourse of “deracination” must evoke earlier discourses of “biological” purity and racial authenticity. Why are these colonial fears of racial and cul- tural miscegenation resurfacing in discussions of the Internet and new media? 92 </w:t>
        <w:br w:type="textWrapping"/>
        <w:br w:type="textWrapping"/>
        <w:t xml:space="preserve">APA 7th Edition (American Psychological Assoc.)</w:t>
        <w:br w:type="textWrapping"/>
        <w:t xml:space="preserve">Lisa Nakamura. (2008). Digitizing Race : Visual Cultures of the Internet. Univ Of Minnesota Press.</w:t>
      </w:r>
    </w:p>
    <w:p w:rsidR="00000000" w:rsidDel="00000000" w:rsidP="00000000" w:rsidRDefault="00000000" w:rsidRPr="00000000" w14:paraId="00000014">
      <w:pPr>
        <w:rPr>
          <w:rFonts w:ascii="Helvetica Neue" w:cs="Helvetica Neue" w:eastAsia="Helvetica Neue" w:hAnsi="Helvetica Neue"/>
          <w:color w:val="000000"/>
          <w:sz w:val="18"/>
          <w:szCs w:val="18"/>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In a sense this set of concerns is moot, for the Internet is penetrating cul- tures, markets, ethnic groups, and genders at a tremendous clip in total defiance of what the critics think. However, the debates within postcolonial theory over language adoption can prove useful in parsing out the ways that new media can seek to avoid a seeming deadlock between contradictory positions. The fact is that there are few, perhaps no, media forms that are “purely” authentic, just as there are few that are homogeneously and uni- formly hybrid. Media forms are bumpy, layered, and pitted with the imprint of contact with other cultures; none avoid the mark of imperialist power relations. And the Internet is no different. What the Internet does offer, however, is a range of imagistic and interactive practices that produce a dis- tinctively different mediascape from the world of the static literary text. The potential of the Internet to transform visual cultures like India’s or at least to engage with them in ways that literary texts cannot must be examined if we wish to avoid repeating the same arguments regarding cultural purity versus cultural hybridity. This is a Hobson’s choice that would better be avoided for a number of reasons, not the least of which being that it fails to account for people who are not textually literate in any language, thus per- petuating the analog class and education divide.47 Postcolonial debates that pose the stern and noble (but ultimately doomed) cultural authenticists like Ngugi against the freewheeling postmodern hybridity of Salman Rushdie 92 Alllooksame? both start from the assumption that the Internet is purely Western because it is dominated by American content and interfaces. However, sites like alllooksame.com and others like it demonstrate the ways that the Web can produce sites that express concerns that are unique to particular cultures and can perform what Faye Ginsburg calls “cultural activism”: the aborigi- nal use of “a range of media in order to ‘talk back’ to structures of power that have erased or distorted their interests and realities.”48 The anthropolo- gist and visual culture scholar Christopher Pinney argues that though photog- raphy was originally a Western introduction to African culture, it has be- come so “firmly inserted into everyday practice” in Western Africa and has given rise to so many innovative uses of form and composition that serve the unique and particular cultural needs of the Yoruba that it is “best seen as the confluence of overlapping visual regimes rather than the province of one.” 49 Indeed, as the Internet drives the convergence of visual regimes that had previously been separated in space and time, regimes of govern- mentality, classification, the law, and the interface overlap to form a hybrid experience of media. 92-93</w:t>
        <w:br w:type="textWrapping"/>
        <w:br w:type="textWrapping"/>
        <w:t xml:space="preserve">APA 7th Edition (American Psychological Assoc.)</w:t>
        <w:br w:type="textWrapping"/>
        <w:t xml:space="preserve">Lisa Nakamura. (2008). Digitizing Race : Visual Cultures of the Internet. Univ Of Minnesota Press.</w:t>
      </w:r>
    </w:p>
    <w:p w:rsidR="00000000" w:rsidDel="00000000" w:rsidP="00000000" w:rsidRDefault="00000000" w:rsidRPr="00000000" w14:paraId="00000016">
      <w:pPr>
        <w:rPr>
          <w:rFonts w:ascii="Helvetica Neue" w:cs="Helvetica Neue" w:eastAsia="Helvetica Neue" w:hAnsi="Helvetica Neue"/>
          <w:color w:val="000000"/>
          <w:sz w:val="18"/>
          <w:szCs w:val="18"/>
        </w:rPr>
      </w:pP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People of color and women are not as well represented in biennials, the world of zines, independent film, and other expressive forums, much less in mainstream film and media. And all told, their cultural production on the Internet is far from dominant. However, a key difference between the Inter- net and other media forms is the production of a visual culture expressive of racial and ethnic identity that is potentially available to a much broader group of people. We should celebrate the creative interventions of teenage Muslim girls, pregnant women, and other users who have appropriated the Internet to create visual images that represent themselves in their bodily particularities such as chadors, pregnant bellies, and ultrasound photographs. Yet this encouraging use of the Internet for nonnormative bodies to be dis- played, circulated, and modified, to be made to signify racial and gender identities that exceed or resist already-existing templates, must be under- stood within the larger frame of early-twenty-first-century cultural politics and industrial imperatives. A sea change within the realm of cyberculture and media culture occurred in 2000. The newfound enthusiasm for a more profitable, stable, and visual Internet—Web 2.0—after the earlier disastrous Internet crash tempered utopian sentiments about the Internet’s power to transform users’ lives and produced new, more modestly framed notions of the self online </w:t>
        <w:br w:type="textWrapping"/>
        <w:br w:type="textWrapping"/>
        <w:t xml:space="preserve">APA 7th Edition (American Psychological Assoc.)</w:t>
        <w:br w:type="textWrapping"/>
        <w:t xml:space="preserve">Lisa Nakamura. (2008). Digitizing Race : Visual Cultures of the Internet. Univ Of Minnesota Press. 204 </w:t>
      </w:r>
    </w:p>
    <w:p w:rsidR="00000000" w:rsidDel="00000000" w:rsidP="00000000" w:rsidRDefault="00000000" w:rsidRPr="00000000" w14:paraId="00000018">
      <w:pPr>
        <w:rPr>
          <w:rFonts w:ascii="Helvetica Neue" w:cs="Helvetica Neue" w:eastAsia="Helvetica Neue" w:hAnsi="Helvetica Neue"/>
          <w:color w:val="000000"/>
          <w:sz w:val="18"/>
          <w:szCs w:val="18"/>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he cases that I examine in this volume exemplify the efforts of previ- ously new and previously unexpressive groups of users who are using the Internet to actively visualize themselves despite and within these con- straints, their differing races, their complicated genders, their generative and bereft bodies. Yet at the same time, they are performing this cultural work while living in a post-neoliberal age in which race “doesn’t matter”; and it has become profoundly unfashionable to be one thing or another, and actively dangerous to signify race or ethnicity in the public sphere. The American judiciary system is leaning away from protecting citizens who are victimized on the basis of race; however, this trend merely reflects, rather than drives, the culture’s profound disenchantment with antiracist discourse altogether. As the Yale legal scholar Kenji Yoshino writes: “Americans are already sick to death of identity politics; the courts are merely following suit.” 8 While surveys of Internet usage work to reify the notion of racial groups as traditionally conceived —fast or furious, slow or tepid, as far as they are concerned every single person who can pick up a phone or boot up a computer belongs to a group called “Asian American,” “African Ameri- can,” “Hispanic,” or “white” — Web sites like alllooksame.com work to remind users that these categories are national, quasi-biological, visual, politi- cal, and above all unanchored in facticity and intensely subjective. While these usage or “penetration” surveys are vitally important objects of study by both humanists and social scientists because they are often used to inform public policy regarding education and computer access, they are only part of the story. Though Internet use by racial minorities is indeed increasing, this is not in itself reason to be optimistic about the medium’s ability to enfranchise minorities in a realm of friction-free digital production and self-expression. In the true spirit of neoliberalism, being permitted to exist is not the same as equal representation. Digital visual capital is a commodity that is not 206 Epilogue freely given to all; as has always been the case with capital of any kind, it must be negotiated and at times actively seized by those to whom it would otherwise not be given. The racio-visual logic of the graphical Internet allows race to be seen more than ever before, yet the conditions of its visualization are such that users of color and women from the everyday world are only now forming a nascent digital imaging practice that refuses to “cover” itself, one that exists within a matrix of practices that do. As Susan Courtney wonders: “What makes a culture, in a century marked by intense waves of racial and ethnic immigration and migration, mixing and contestation, form and sustain the belief that ‘race’ is something we know when we see ? . . . We have much to learn in this regard from cinema, a medium that profoundly contributes to the ascension of the visual as a dominant location and guarantee of racial meaning in the twentieth century.” 9 The development of the Internet has been such that visuality has become a form of representation widely avail- able to users as producers only relatively recently. The paradox of digital visuality, a “feature” of the type of broadband infrastructure that we have chosen to develop, is that like cinema it can work to reinstate an under-</w:t>
        <w:br w:type="textWrapping"/>
        <w:br w:type="textWrapping"/>
        <w:t xml:space="preserve">APA 7th Edition (American Psychological Assoc.)</w:t>
        <w:br w:type="textWrapping"/>
        <w:t xml:space="preserve">Lisa Nakamura. (2008). Digitizing Race : Visual Cultures of the Internet. Univ Of Minnesota Press. 206-207</w:t>
      </w:r>
    </w:p>
    <w:p w:rsidR="00000000" w:rsidDel="00000000" w:rsidP="00000000" w:rsidRDefault="00000000" w:rsidRPr="00000000" w14:paraId="0000001A">
      <w:pPr>
        <w:rPr>
          <w:rFonts w:ascii="Helvetica Neue" w:cs="Helvetica Neue" w:eastAsia="Helvetica Neue" w:hAnsi="Helvetica Neue"/>
          <w:color w:val="000000"/>
          <w:sz w:val="18"/>
          <w:szCs w:val="18"/>
        </w:rPr>
      </w:pPr>
      <w:r w:rsidDel="00000000" w:rsidR="00000000" w:rsidRPr="00000000">
        <w:rPr>
          <w:rtl w:val="0"/>
        </w:rPr>
      </w:r>
    </w:p>
    <w:p w:rsidR="00000000" w:rsidDel="00000000" w:rsidP="00000000" w:rsidRDefault="00000000" w:rsidRPr="00000000" w14:paraId="0000001B">
      <w:pP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“On the Internet, users do as well as are their race; this networked racial positioning broadcasts this doing in ways that explicitly un-“cover” race. As Yoshino writes: “We see an assimilation model of civil rights formally ceding to an accommodation model. . . . The assimi- lation model protects being a member of a group, but not doing things asso- ciated with the group. Under this model, courts protect skin color but not language, chromosomes but not pregnancy, and same-sex desire but not same- sex marriage.” 10 Thus is racial and gender inequity perpetuated. The social and legal compulsion to cover, or to “minimize the race-salient traits that distinguish [one] from the white mainstream,” is founded on the assumption that a marked racial position is a stigma that the individual has the right and indeed the obligation to hide. And until lately, the structure of the Internet has been such that it has greatly facilitated covering; early utopians especially lauded and adored the Internet’s ability to hide or anonymize race as its best and most socially valuable feature. The Internet was just as much a machine for not-seeing as it was a machine of vision, at least in terms of race and gender identity. However, the promiscuous visualization of race by new users of color and women in the postmillennial age claims the right to do as well as be. All this while myriad other social institutions such as the law, education, medicine, and the culture at large work to un-matter race, to make it cease to mean. 207-208</w:t>
        <w:br w:type="textWrapping"/>
        <w:br w:type="textWrapping"/>
        <w:t xml:space="preserve">APA 7th Edition (American Psychological Assoc.)</w:t>
        <w:br w:type="textWrapping"/>
        <w:t xml:space="preserve">Lisa Nakamura. (2008). Digitizing Race : Visual Cultures of the Internet. Univ Of Minnesota Press.</w:t>
        <w:br w:type="textWrapping"/>
        <w:br w:type="textWrapping"/>
        <w:t xml:space="preserve">APA 7th Edition (American Psychological Assoc.)</w:t>
        <w:br w:type="textWrapping"/>
        <w:t xml:space="preserve">Lisa Nakamura. (2008). Digitizing Race : Visual Cultures of the Internet. Univ Of Minnesota Press.</w:t>
        <w:br w:type="textWrapping"/>
        <w:br w:type="textWrapping"/>
        <w:t xml:space="preserve">APA 7th Edition (American Psychological Assoc.)</w:t>
        <w:br w:type="textWrapping"/>
        <w:t xml:space="preserve">Lisa Nakamura. (2008). Digitizing Race : Visual Cultures of the Internet. Univ Of Minnesota Press.</w:t>
      </w:r>
    </w:p>
    <w:p w:rsidR="00000000" w:rsidDel="00000000" w:rsidP="00000000" w:rsidRDefault="00000000" w:rsidRPr="00000000" w14:paraId="0000001C">
      <w:pPr>
        <w:rPr>
          <w:rFonts w:ascii="Helvetica Neue" w:cs="Helvetica Neue" w:eastAsia="Helvetica Neue" w:hAnsi="Helvetica Neue"/>
          <w:color w:val="000000"/>
          <w:sz w:val="18"/>
          <w:szCs w:val="18"/>
        </w:rPr>
      </w:pPr>
      <w:r w:rsidDel="00000000" w:rsidR="00000000" w:rsidRPr="00000000">
        <w:rPr>
          <w:rtl w:val="0"/>
        </w:rPr>
      </w:r>
    </w:p>
    <w:p w:rsidR="00000000" w:rsidDel="00000000" w:rsidP="00000000" w:rsidRDefault="00000000" w:rsidRPr="00000000" w14:paraId="0000001D">
      <w:pP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However, not all has changed. The racio-visual logic of the Internet works as a series of paradoxes. Digital systems such as facial recognition soft- ware operationalize and instrumentalize race just as the Human Genome Project tells us precisely which locations on the human gene set “contain” race. The resurgence of scientism, in particular the privileging of the bio- technological sciences, has been powerfully documented and critiqued by scholars such as Donna Haraway, Anne Fausto-Sterling, and Maria Fernandez. This high-cultural valuation of science as a way of understanding identity, behavior, and the self as social actor continues to erode humanistically based notions of the subject as socially constructed. This backlash against social constructivism continues apace in myriad spheres of life and not inci- dentally undermines the notion of race and gender as socially constituted forms that merit and demand active alteration and negotiation for the better. Yet at the same time, the Internet itself continually offers new opportunities that are taken up by all sorts of users for precisely these types of negotiations to occur at the visual level, a level that is deeply appealing and compelling to a broad range of people. The official public discourse prevalent in edu- cational, political, and other knowledge-creating institutions continues to trumpet the message that we are all the same underneath the skin, tri- umphantly individual and self-efficacious at all times, and that if we are not, it is our own fault. Yet still, that skin continues to digitally articulate itself in its difference, perhaps for the first time in a public forum that is as yet much less regulated than other media spaces for visual representation. In defiance of public discourse that says that race doesn’t exist and doesn’t matter, either scientifically or practically, users continue to make avatars, Web sites, quizzes, moving image sequences, and petitions that say that it does, and it does. Despite uneven forms of access to Internet technology, there are burgeoning visual cultures of race on the Internet authored by people of color and women. These cultures flourish in the out-of-the-way spaces of the popular Internet, in the online communities for mothers, teens, dis- gruntled consumers, and everyday interactions. Really seeing them means looking more closely at the Internet and looking differently. 209 </w:t>
        <w:br w:type="textWrapping"/>
        <w:br w:type="textWrapping"/>
        <w:t xml:space="preserve">APA 7th Edition (American Psychological Assoc.)</w:t>
        <w:br w:type="textWrapping"/>
        <w:t xml:space="preserve">Lisa Nakamura. (2008). Digitizing Race : Visual Cultures of the Internet. Univ Of Minnesota Press.</w:t>
      </w:r>
    </w:p>
    <w:p w:rsidR="00000000" w:rsidDel="00000000" w:rsidP="00000000" w:rsidRDefault="00000000" w:rsidRPr="00000000" w14:paraId="0000001E">
      <w:pPr>
        <w:rPr>
          <w:rFonts w:ascii="Helvetica Neue" w:cs="Helvetica Neue" w:eastAsia="Helvetica Neue" w:hAnsi="Helvetica Neue"/>
          <w:color w:val="000000"/>
          <w:sz w:val="18"/>
          <w:szCs w:val="18"/>
        </w:rPr>
      </w:pPr>
      <w:r w:rsidDel="00000000" w:rsidR="00000000" w:rsidRPr="00000000">
        <w:rPr>
          <w:rtl w:val="0"/>
        </w:rPr>
      </w:r>
    </w:p>
    <w:p w:rsidR="00000000" w:rsidDel="00000000" w:rsidP="00000000" w:rsidRDefault="00000000" w:rsidRPr="00000000" w14:paraId="0000001F">
      <w:pP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fontolan_malazita_dacosta</w:t>
      </w:r>
    </w:p>
    <w:p w:rsidR="00000000" w:rsidDel="00000000" w:rsidP="00000000" w:rsidRDefault="00000000" w:rsidRPr="00000000" w14:paraId="00000020">
      <w:pPr>
        <w:rPr>
          <w:rFonts w:ascii="Verdana" w:cs="Verdana" w:eastAsia="Verdana" w:hAnsi="Verdana"/>
          <w:color w:val="000000"/>
          <w:sz w:val="17"/>
          <w:szCs w:val="17"/>
          <w:highlight w:val="white"/>
        </w:rPr>
      </w:pPr>
      <w:r w:rsidDel="00000000" w:rsidR="00000000" w:rsidRPr="00000000">
        <w:rPr>
          <w:rFonts w:ascii="Verdana" w:cs="Verdana" w:eastAsia="Verdana" w:hAnsi="Verdana"/>
          <w:color w:val="000000"/>
          <w:sz w:val="17"/>
          <w:szCs w:val="17"/>
          <w:highlight w:val="white"/>
          <w:rtl w:val="0"/>
        </w:rPr>
        <w:t xml:space="preserve">Localization practices are not only in the purview of game publishers or translation professionals; players and customers, too, are affected. This can be especially true in marginalized and underrepresented languages. This paper analyzes the multiple practices and roles players play in videogame localization.</w:t>
      </w:r>
    </w:p>
    <w:p w:rsidR="00000000" w:rsidDel="00000000" w:rsidP="00000000" w:rsidRDefault="00000000" w:rsidRPr="00000000" w14:paraId="00000021">
      <w:pPr>
        <w:rPr>
          <w:rFonts w:ascii="Verdana" w:cs="Verdana" w:eastAsia="Verdana" w:hAnsi="Verdana"/>
          <w:color w:val="000000"/>
          <w:sz w:val="17"/>
          <w:szCs w:val="17"/>
          <w:highlight w:val="white"/>
        </w:rPr>
      </w:pPr>
      <w:r w:rsidDel="00000000" w:rsidR="00000000" w:rsidRPr="00000000">
        <w:rPr>
          <w:rtl w:val="0"/>
        </w:rPr>
      </w:r>
    </w:p>
    <w:p w:rsidR="00000000" w:rsidDel="00000000" w:rsidP="00000000" w:rsidRDefault="00000000" w:rsidRPr="00000000" w14:paraId="00000022">
      <w:pPr>
        <w:rPr>
          <w:rFonts w:ascii="Verdana" w:cs="Verdana" w:eastAsia="Verdana" w:hAnsi="Verdana"/>
          <w:color w:val="000000"/>
          <w:sz w:val="17"/>
          <w:szCs w:val="17"/>
          <w:highlight w:val="white"/>
        </w:rPr>
      </w:pPr>
      <w:bookmarkStart w:colFirst="0" w:colLast="0" w:name="_heading=h.30j0zll" w:id="1"/>
      <w:bookmarkEnd w:id="1"/>
      <w:r w:rsidDel="00000000" w:rsidR="00000000" w:rsidRPr="00000000">
        <w:rPr>
          <w:rFonts w:ascii="Verdana" w:cs="Verdana" w:eastAsia="Verdana" w:hAnsi="Verdana"/>
          <w:color w:val="000000"/>
          <w:sz w:val="17"/>
          <w:szCs w:val="17"/>
          <w:highlight w:val="white"/>
          <w:rtl w:val="0"/>
        </w:rPr>
        <w:t xml:space="preserve">The localization process starts when the game is still in its conceptual phase -- when the developers and publisher decide which market they will release the game in, and in which languages. As we will discuss later, a regional release does not necessarily guarantee a regional localization. When the game moves to alpha testing -- an early stage build of the game used to test for gameplay cohesiveness, glitches, early performance issues and basic cross-platform functionality -- game narrative and linguistic texts (including dialogue, system narration and menu options), are isolated from the code and sent to the localization team. The text is adapted, translated and returned to the development team, who implements the new text in the game for testing.</w:t>
      </w:r>
    </w:p>
    <w:p w:rsidR="00000000" w:rsidDel="00000000" w:rsidP="00000000" w:rsidRDefault="00000000" w:rsidRPr="00000000" w14:paraId="00000023">
      <w:pPr>
        <w:rPr>
          <w:rFonts w:ascii="Verdana" w:cs="Verdana" w:eastAsia="Verdana" w:hAnsi="Verdana"/>
          <w:color w:val="000000"/>
          <w:sz w:val="17"/>
          <w:szCs w:val="17"/>
          <w:highlight w:val="white"/>
        </w:rPr>
      </w:pPr>
      <w:r w:rsidDel="00000000" w:rsidR="00000000" w:rsidRPr="00000000">
        <w:rPr>
          <w:rtl w:val="0"/>
        </w:rPr>
      </w:r>
    </w:p>
    <w:p w:rsidR="00000000" w:rsidDel="00000000" w:rsidP="00000000" w:rsidRDefault="00000000" w:rsidRPr="00000000" w14:paraId="00000024">
      <w:pPr>
        <w:rPr>
          <w:rFonts w:ascii="Verdana" w:cs="Verdana" w:eastAsia="Verdana" w:hAnsi="Verdana"/>
          <w:color w:val="000000"/>
          <w:sz w:val="17"/>
          <w:szCs w:val="17"/>
          <w:highlight w:val="white"/>
        </w:rPr>
      </w:pPr>
      <w:r w:rsidDel="00000000" w:rsidR="00000000" w:rsidRPr="00000000">
        <w:rPr>
          <w:rFonts w:ascii="Verdana" w:cs="Verdana" w:eastAsia="Verdana" w:hAnsi="Verdana"/>
          <w:color w:val="000000"/>
          <w:sz w:val="17"/>
          <w:szCs w:val="17"/>
          <w:highlight w:val="white"/>
          <w:rtl w:val="0"/>
        </w:rPr>
        <w:t xml:space="preserve">How much creative agency a localizer or localization team has is a subject of some debate in the games industry. Localization practices can and do change original scripts and word-choices of a game’s creators; potentially also changing emotional intent. Allison (2006) addresses issues of authenticity in the </w:t>
      </w:r>
      <w:r w:rsidDel="00000000" w:rsidR="00000000" w:rsidRPr="00000000">
        <w:rPr>
          <w:rFonts w:ascii="Verdana" w:cs="Verdana" w:eastAsia="Verdana" w:hAnsi="Verdana"/>
          <w:i w:val="1"/>
          <w:color w:val="000000"/>
          <w:sz w:val="17"/>
          <w:szCs w:val="17"/>
          <w:highlight w:val="white"/>
          <w:rtl w:val="0"/>
        </w:rPr>
        <w:t xml:space="preserve">Pokémon</w:t>
      </w:r>
      <w:r w:rsidDel="00000000" w:rsidR="00000000" w:rsidRPr="00000000">
        <w:rPr>
          <w:rFonts w:ascii="Verdana" w:cs="Verdana" w:eastAsia="Verdana" w:hAnsi="Verdana"/>
          <w:color w:val="000000"/>
          <w:sz w:val="17"/>
          <w:szCs w:val="17"/>
          <w:highlight w:val="white"/>
          <w:rtl w:val="0"/>
        </w:rPr>
        <w:t xml:space="preserve"> franchise (Nintendo 1995), noticing that during the process of localization for Western countries, Japanese references had been erased from monster names and storefronts. This erasure helps Western audiences think that the product was made for them, rather than media imported from another country. </w:t>
      </w:r>
    </w:p>
    <w:p w:rsidR="00000000" w:rsidDel="00000000" w:rsidP="00000000" w:rsidRDefault="00000000" w:rsidRPr="00000000" w14:paraId="00000025">
      <w:pPr>
        <w:rPr>
          <w:rFonts w:ascii="Verdana" w:cs="Verdana" w:eastAsia="Verdana" w:hAnsi="Verdana"/>
          <w:color w:val="000000"/>
          <w:sz w:val="17"/>
          <w:szCs w:val="17"/>
          <w:highlight w:val="whit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u w:val="none"/>
          <w:shd w:fill="auto" w:val="clear"/>
          <w:vertAlign w:val="baseline"/>
        </w:rPr>
      </w:pP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These discussions strongly relate to the arguments presented by Kurt Squire (2012) and the elements of play. He analyzes the game in its social context as the most important factor when considering the relationships between culture and play. In this sense, game communities -- formed by players -- act by pressuring the videogame industry to localize games, so that publishers and developers address the context a game is played in. Besides that, the discussion on the role of players in videogame localization also relates to Bhabha’s (1994) idea of culture performance. When a gaming culture becomes recognizably important, it becomes necessary that the industry address it by supporting language localization catered to that culture. This process brings that culture further into the mainstream while also using its players as peer reviewers to improve the localization. This also relates to Kate Edward's (2011) arguments on localization and culturalization.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u w:val="none"/>
          <w:shd w:fill="auto" w:val="clear"/>
          <w:vertAlign w:val="baseline"/>
        </w:rPr>
      </w:pP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The tensions between publishers, developers and players regarding localization also show that the player’s role in requesting languages is a new asset for publishers and developers. This contact between players and game developers is often positive. However, it may also lead to problems as players start to require even more languages, and complain about some of the choices localizers make during the localization process and the game's final results. The localization process creates tension in the relationship between a game’s players and the developers and publishers who made it; as the latter want to provide the former with good gaming experiences, but cannot afford to handle all player expectations and requirements.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u w:val="none"/>
          <w:shd w:fill="auto" w:val="clear"/>
          <w:vertAlign w:val="baseline"/>
        </w:rPr>
      </w:pP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Bainbridge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close to 20 years, Pokémon intertexts have produced transmedia storytelling that informs and reflects upon larger issues of environmentalism, biodiversity and materialism. For reasons of space, this article will concentrate its textual analysis on a few of the 13 Pokémon theatrical releases. It will briefly outline the environmental context of Japan and consider how the textual origins, narrative style and storytelling model of Pokémon articulate Japan’s often-difficult relationship with its environment. 400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relation to nature is evident in its beginnings in 1996 as a software game for Nintendo’s Game Boy, based as it was around creator Satoshi Tajiri’s love of insect collecting. Tajiri imagined an entire (non-localized) world where wild creatures existed to be collected, trained and battle one another.4 When Tajiri came across a Game Boy for the first time in 1991 and saw that two Game Boys could be linked with a cable (a tsushin keburu or Game link) he ‘imagined an insect moving back and forth across the cable.… My idea was for information to go back and forth, to be shared.’ He therefore envisioned a game based upon trading and evolving creatures into new and better beings,5 involving not just battles but bartering. Indeed, despite the ‘gotta catch ’em all’ slogan a number of pokémon can still only be caught or evolve through exchanges (trading); interactivity therefore became a major part of the game design. This insect aesthetic exists at the heart of Japanese popular culture, in part because anime and manga pioneers, like Tajiri, Osamu Tezuka and Hayao Miyazaki, growing up in the 1960s, also collected insects. Kelts provides a virtual shopping list of insectinspired design as evidence including: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402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Pokémon thereby encourages reflection on the ways in which we represent, engage and contain nature. It offers ways of interacting with the natural world, not always uncritically, as demonstrated in the earlier examples from the Pokémon films. In the best tradition of vernacular theory, Pokémon therefore becomes a kind of theoretical petrie dish for testing and exploring ways of interacting with the environment and negotiating those interactions with the real, the representational, the material and the contingent. Another manifestation of this has been the development of the Phylomon project (commencing 2009) to promote knowledge of biodiversity. The project came into existence following a letter Andrew Balmford wrote to the academic journal Science in 2002 (Balmford, 2002: 2367). Balmford was lead author of a study of children as young as 8 that found children had an incredible capacity to identify and characteriza upwards of 120 pokémon, but when the same rubric was applied to real-life flora and fauna they failed to recognize less than half. Balmford writes: 409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highlight w:val="white"/>
          <w:u w:val="none"/>
          <w:vertAlign w:val="baseline"/>
        </w:rPr>
      </w:pPr>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Hutchinson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The tension between open-world exploration and a more story-based game is thus clear in the development process, at the heart of which lies the question of design -- how is the player to be directed toward story events, dungeons, puzzles and rewards, or do they need direction at all? How do designers convey the story, the ideology, the “message” of the game if players are free to play however they like? By ideology, I mean the consciously constructed representations, mechanics and narrative aspects which demonstrate the designers’ worldview and ideas, as well as their unconscious ideas and attitudes. I follow Christopher Paul (2012), Ken McAllister (2012) and my own previous work (Hutchinson, 2019) in treating the videogame as a text, part of discourse and a speech act, in which ideology is conveyed by rhetorical strategies </w:t>
      </w:r>
      <w:hyperlink r:id="rId7">
        <w:r w:rsidDel="00000000" w:rsidR="00000000" w:rsidRPr="00000000">
          <w:rPr>
            <w:rFonts w:ascii="Verdana" w:cs="Verdana" w:eastAsia="Verdana" w:hAnsi="Verdana"/>
            <w:b w:val="0"/>
            <w:i w:val="0"/>
            <w:smallCaps w:val="0"/>
            <w:strike w:val="0"/>
            <w:color w:val="0000ff"/>
            <w:sz w:val="17"/>
            <w:szCs w:val="17"/>
            <w:highlight w:val="white"/>
            <w:u w:val="single"/>
            <w:vertAlign w:val="baseline"/>
            <w:rtl w:val="0"/>
          </w:rPr>
          <w:t xml:space="preserve">[2]</w:t>
        </w:r>
      </w:hyperlink>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 In the linear structures of the Japanese roleplaying game (JRPG), players often follow a clear scripted path by which the designer’s message can become apparent, on a spectrum of direct critique to indirect allegory. Players in the open world, in contrast, may only sometimes come into contact with scripted scenarios or story events. The rhetoric of the open world must therefore depend on the constructed shell of what every player must encounter -- rules, instructions, loading screens and cover art, as well as the actions of non-player characters (NPCs) and the surrounding environment. This essay explores the directions and instructions given to the player in </w:t>
      </w:r>
      <w:r w:rsidDel="00000000" w:rsidR="00000000" w:rsidRPr="00000000">
        <w:rPr>
          <w:rFonts w:ascii="Verdana" w:cs="Verdana" w:eastAsia="Verdana" w:hAnsi="Verdana"/>
          <w:b w:val="0"/>
          <w:i w:val="1"/>
          <w:smallCaps w:val="0"/>
          <w:strike w:val="0"/>
          <w:color w:val="000000"/>
          <w:sz w:val="17"/>
          <w:szCs w:val="17"/>
          <w:highlight w:val="white"/>
          <w:u w:val="none"/>
          <w:vertAlign w:val="baseline"/>
          <w:rtl w:val="0"/>
        </w:rPr>
        <w:t xml:space="preserve">Breath of the Wild</w:t>
      </w:r>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 to determine how ideological content is built into the game and how the player encounters it, by rules and other means.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highlight w:val="white"/>
          <w:u w:val="none"/>
          <w:vertAlign w:val="baseline"/>
        </w:rPr>
      </w:pPr>
      <w:bookmarkStart w:colFirst="0" w:colLast="0" w:name="_heading=h.tyjcwt" w:id="5"/>
      <w:bookmarkEnd w:id="5"/>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Where Quintana Vallejo and Herfs describe the Zora, Gerudo, Rito and Goron as “Others” in the game text, it would be more appropriate to call them “civilized Others.” Each tribe has a highly developed society with their own architecture, food culture, forms of government and tactical fighting styles, but all worship the same Goddess Hylia in a common religion. Statues of the Goddess may be found in every major settlement in the gameworld, although they differ in decoration -- for example, the Rito Village statue is decorated with flowers, while the Zora statue stands in a basin of water. The statues show the culture of their builders: in central Hyrule, a large Temple of Time looks like a European Gothic cathedral, with a tall, imposing statue, while Kakariko Village hosts a statue with red bib-like decoration, similar to </w:t>
      </w:r>
      <w:r w:rsidDel="00000000" w:rsidR="00000000" w:rsidRPr="00000000">
        <w:rPr>
          <w:rFonts w:ascii="Verdana" w:cs="Verdana" w:eastAsia="Verdana" w:hAnsi="Verdana"/>
          <w:b w:val="0"/>
          <w:i w:val="1"/>
          <w:smallCaps w:val="0"/>
          <w:strike w:val="0"/>
          <w:color w:val="000000"/>
          <w:sz w:val="17"/>
          <w:szCs w:val="17"/>
          <w:highlight w:val="white"/>
          <w:u w:val="none"/>
          <w:vertAlign w:val="baseline"/>
          <w:rtl w:val="0"/>
        </w:rPr>
        <w:t xml:space="preserve">jizō </w:t>
      </w:r>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statues in Japan </w:t>
      </w:r>
      <w:hyperlink r:id="rId8">
        <w:r w:rsidDel="00000000" w:rsidR="00000000" w:rsidRPr="00000000">
          <w:rPr>
            <w:rFonts w:ascii="Verdana" w:cs="Verdana" w:eastAsia="Verdana" w:hAnsi="Verdana"/>
            <w:b w:val="0"/>
            <w:i w:val="0"/>
            <w:smallCaps w:val="0"/>
            <w:strike w:val="0"/>
            <w:color w:val="0000ff"/>
            <w:sz w:val="17"/>
            <w:szCs w:val="17"/>
            <w:highlight w:val="white"/>
            <w:u w:val="single"/>
            <w:vertAlign w:val="baseline"/>
            <w:rtl w:val="0"/>
          </w:rPr>
          <w:t xml:space="preserve">[9]</w:t>
        </w:r>
      </w:hyperlink>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 This design choice echoes the European-style nature of Hyrule and its inhabitants, nearly all of whom look Caucasian and wear medieval garb, while Kakariko Village has traditional Japanese architecture and inhabitants, with the Sheikah warriors dressed like samurai (Herfs 2020). It is Link’s job to resolve old enmities between Hylians and Sheikah, and to bring together the four tribes of “civilized Others” to defeat Ganon.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u w:val="none"/>
          <w:shd w:fill="auto" w:val="clear"/>
          <w:vertAlign w:val="baseline"/>
        </w:rPr>
      </w:pP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In addition to these “civilized Others” there is another group of non-playable entities in the game who have not been analyzed in the scholarly literature -- the various monsters inhabiting the wild, who may be described as “uncivilized Others.” The first monster encountered is the Bokoblin, much like a Japanese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oni</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or demon, with a single horn, loincloth and wooden club. Red Bokoblins inhabit the first areas that Link explores in the environment, with low hit points and easily broken weapons. Second is the Mokoblin, encountered on the plains, a toweringly tall creature with bull-like face, lumbering gait and hooves; equipped with stronger weapons studded with dragon bones. Finally, we meet the Lizalfos as we travel further into the map, lizard-like creatures with the camouflage capabilities of a chameleon. Lizalfos move erratically and more swiftly than Bokoblins or Moblins. They carry metal-bladed throwing weapons and can use elemental attacks such as electric shocks. All these creatures seem to live out in the open, building rough encampments at which they sleep or rest. They do not speak to the player, and are often seen chasing hapless travelers. From the beginning of the game, the player-character is encouraged to fight monsters and collect dropped rewards such as food, weapons and gems.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u w:val="none"/>
          <w:shd w:fill="auto" w:val="clear"/>
          <w:vertAlign w:val="baseline"/>
        </w:rPr>
      </w:pPr>
      <w:bookmarkStart w:colFirst="0" w:colLast="0" w:name="_heading=h.3dy6vkm" w:id="6"/>
      <w:bookmarkEnd w:id="6"/>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Assessing the merits of the colonial reading,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Breath of the Wild</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does follow a conventional story of settler-colonialism: helping “good” or civilized Others, killing “bad” or uncivilized Others, to finally achieve the victory. The game has a Western surface appearance for broad appeal to the global audience, and does not put itself forward as a particularly “Japanese” text (unlike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Ōkami </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from Clover Studios, for example, steeped in Japanese mythology and Shinto tradition) </w:t>
      </w:r>
      <w:hyperlink r:id="rId9">
        <w:r w:rsidDel="00000000" w:rsidR="00000000" w:rsidRPr="00000000">
          <w:rPr>
            <w:rFonts w:ascii="Verdana" w:cs="Verdana" w:eastAsia="Verdana" w:hAnsi="Verdana"/>
            <w:b w:val="0"/>
            <w:i w:val="0"/>
            <w:smallCaps w:val="0"/>
            <w:strike w:val="0"/>
            <w:color w:val="0000ff"/>
            <w:sz w:val="17"/>
            <w:szCs w:val="17"/>
            <w:u w:val="single"/>
            <w:shd w:fill="auto" w:val="clear"/>
            <w:vertAlign w:val="baseline"/>
            <w:rtl w:val="0"/>
          </w:rPr>
          <w:t xml:space="preserve">[10]</w:t>
        </w:r>
      </w:hyperlink>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This is consistent with other games in the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Legend of Zelda</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franchise, where obvious Japanese elements are largely absent </w:t>
      </w:r>
      <w:hyperlink r:id="rId10">
        <w:r w:rsidDel="00000000" w:rsidR="00000000" w:rsidRPr="00000000">
          <w:rPr>
            <w:rFonts w:ascii="Verdana" w:cs="Verdana" w:eastAsia="Verdana" w:hAnsi="Verdana"/>
            <w:b w:val="0"/>
            <w:i w:val="0"/>
            <w:smallCaps w:val="0"/>
            <w:strike w:val="0"/>
            <w:color w:val="0000ff"/>
            <w:sz w:val="17"/>
            <w:szCs w:val="17"/>
            <w:u w:val="single"/>
            <w:shd w:fill="auto" w:val="clear"/>
            <w:vertAlign w:val="baseline"/>
            <w:rtl w:val="0"/>
          </w:rPr>
          <w:t xml:space="preserve">[11]</w:t>
        </w:r>
      </w:hyperlink>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In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Breath of the Wild</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Kakariko Village is constructed in terms of Japanese culture, but outside this area Hyrule seems like any other environment in the Tolkien-inspired fantasy genre </w:t>
      </w:r>
      <w:hyperlink r:id="rId11">
        <w:r w:rsidDel="00000000" w:rsidR="00000000" w:rsidRPr="00000000">
          <w:rPr>
            <w:rFonts w:ascii="Verdana" w:cs="Verdana" w:eastAsia="Verdana" w:hAnsi="Verdana"/>
            <w:b w:val="0"/>
            <w:i w:val="0"/>
            <w:smallCaps w:val="0"/>
            <w:strike w:val="0"/>
            <w:color w:val="0000ff"/>
            <w:sz w:val="17"/>
            <w:szCs w:val="17"/>
            <w:u w:val="single"/>
            <w:shd w:fill="auto" w:val="clear"/>
            <w:vertAlign w:val="baseline"/>
            <w:rtl w:val="0"/>
          </w:rPr>
          <w:t xml:space="preserve">[12]</w:t>
        </w:r>
      </w:hyperlink>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In the context of the open-world environment, the sheer thrill of exploring the map and defending oneself against hordes of threatening monsters add to the colonial feel, a “boys’ own adventure” with the young man set against the world around him. Taking these elements together, it seems that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Breath of the Wild</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is certainly open to the colonial reading.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highlight w:val="white"/>
          <w:u w:val="none"/>
          <w:vertAlign w:val="baseline"/>
        </w:rPr>
      </w:pPr>
      <w:bookmarkStart w:colFirst="0" w:colLast="0" w:name="_heading=h.1t3h5sf" w:id="7"/>
      <w:bookmarkEnd w:id="7"/>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On the other hand, how obvious is this kind of reading? Looking at the open-world environment in practical terms, the colonial ideology could easily get lost in the vastness of the player experience. Teaching </w:t>
      </w:r>
      <w:r w:rsidDel="00000000" w:rsidR="00000000" w:rsidRPr="00000000">
        <w:rPr>
          <w:rFonts w:ascii="Verdana" w:cs="Verdana" w:eastAsia="Verdana" w:hAnsi="Verdana"/>
          <w:b w:val="0"/>
          <w:i w:val="1"/>
          <w:smallCaps w:val="0"/>
          <w:strike w:val="0"/>
          <w:color w:val="000000"/>
          <w:sz w:val="17"/>
          <w:szCs w:val="17"/>
          <w:highlight w:val="white"/>
          <w:u w:val="none"/>
          <w:vertAlign w:val="baseline"/>
          <w:rtl w:val="0"/>
        </w:rPr>
        <w:t xml:space="preserve">Breath of the Wild </w:t>
      </w:r>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in class, as one option for a seven-week game blog assignment, I noticed that students play the game very differently depending on their own interests, personalities, level of game literacy and familiarity with the </w:t>
      </w:r>
      <w:r w:rsidDel="00000000" w:rsidR="00000000" w:rsidRPr="00000000">
        <w:rPr>
          <w:rFonts w:ascii="Verdana" w:cs="Verdana" w:eastAsia="Verdana" w:hAnsi="Verdana"/>
          <w:b w:val="0"/>
          <w:i w:val="1"/>
          <w:smallCaps w:val="0"/>
          <w:strike w:val="0"/>
          <w:color w:val="000000"/>
          <w:sz w:val="17"/>
          <w:szCs w:val="17"/>
          <w:highlight w:val="white"/>
          <w:u w:val="none"/>
          <w:vertAlign w:val="baseline"/>
          <w:rtl w:val="0"/>
        </w:rPr>
        <w:t xml:space="preserve">Zelda </w:t>
      </w:r>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series. Some players stay in the initial area -- the Isolated Plateau -- for seven weeks, exploring every nook and cranny of the forest, cooking up interesting recipes and elixirs, some talking to the Old Man and some ignoring him. Once off the Isolated Plateau, some students make a beeline straight for Kakariko Village, while others travel in different directions. Some complete the entire quest, visiting all four tribes and reactivating their ancient technologies, even defeating Ganon at the end of the game </w:t>
      </w:r>
      <w:hyperlink r:id="rId12">
        <w:r w:rsidDel="00000000" w:rsidR="00000000" w:rsidRPr="00000000">
          <w:rPr>
            <w:rFonts w:ascii="Verdana" w:cs="Verdana" w:eastAsia="Verdana" w:hAnsi="Verdana"/>
            <w:b w:val="0"/>
            <w:i w:val="0"/>
            <w:smallCaps w:val="0"/>
            <w:strike w:val="0"/>
            <w:color w:val="0000ff"/>
            <w:sz w:val="17"/>
            <w:szCs w:val="17"/>
            <w:highlight w:val="white"/>
            <w:u w:val="single"/>
            <w:vertAlign w:val="baseline"/>
            <w:rtl w:val="0"/>
          </w:rPr>
          <w:t xml:space="preserve">[13]</w:t>
        </w:r>
      </w:hyperlink>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 In all this variety of gameplay, I found myself revisiting the question of how ideology is experienced by the player -- what it means to pay attention in videogames and how observant the player would have to be in order to pick up on a colonial reading in </w:t>
      </w:r>
      <w:r w:rsidDel="00000000" w:rsidR="00000000" w:rsidRPr="00000000">
        <w:rPr>
          <w:rFonts w:ascii="Verdana" w:cs="Verdana" w:eastAsia="Verdana" w:hAnsi="Verdana"/>
          <w:b w:val="0"/>
          <w:i w:val="1"/>
          <w:smallCaps w:val="0"/>
          <w:strike w:val="0"/>
          <w:color w:val="000000"/>
          <w:sz w:val="17"/>
          <w:szCs w:val="17"/>
          <w:highlight w:val="white"/>
          <w:u w:val="none"/>
          <w:vertAlign w:val="baseline"/>
          <w:rtl w:val="0"/>
        </w:rPr>
        <w:t xml:space="preserve">Breath of the Wild</w:t>
      </w:r>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 or indeed any kind of ideological subtext in a game text. Some videogames are obvious and direct in their messaging, like Kojima Hideo’s </w:t>
      </w:r>
      <w:r w:rsidDel="00000000" w:rsidR="00000000" w:rsidRPr="00000000">
        <w:rPr>
          <w:rFonts w:ascii="Verdana" w:cs="Verdana" w:eastAsia="Verdana" w:hAnsi="Verdana"/>
          <w:b w:val="0"/>
          <w:i w:val="1"/>
          <w:smallCaps w:val="0"/>
          <w:strike w:val="0"/>
          <w:color w:val="000000"/>
          <w:sz w:val="17"/>
          <w:szCs w:val="17"/>
          <w:highlight w:val="white"/>
          <w:u w:val="none"/>
          <w:vertAlign w:val="baseline"/>
          <w:rtl w:val="0"/>
        </w:rPr>
        <w:t xml:space="preserve">Metal Gear Solid </w:t>
      </w:r>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series, well known for its critique of nuclear weapons. In the JRPG genre, </w:t>
      </w:r>
      <w:r w:rsidDel="00000000" w:rsidR="00000000" w:rsidRPr="00000000">
        <w:rPr>
          <w:rFonts w:ascii="Verdana" w:cs="Verdana" w:eastAsia="Verdana" w:hAnsi="Verdana"/>
          <w:b w:val="0"/>
          <w:i w:val="1"/>
          <w:smallCaps w:val="0"/>
          <w:strike w:val="0"/>
          <w:color w:val="000000"/>
          <w:sz w:val="17"/>
          <w:szCs w:val="17"/>
          <w:highlight w:val="white"/>
          <w:u w:val="none"/>
          <w:vertAlign w:val="baseline"/>
          <w:rtl w:val="0"/>
        </w:rPr>
        <w:t xml:space="preserve">Persona 5 </w:t>
      </w:r>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has also been noted as a direct critique of Japan’s social, political and educational systems. Other series like </w:t>
      </w:r>
      <w:r w:rsidDel="00000000" w:rsidR="00000000" w:rsidRPr="00000000">
        <w:rPr>
          <w:rFonts w:ascii="Verdana" w:cs="Verdana" w:eastAsia="Verdana" w:hAnsi="Verdana"/>
          <w:b w:val="0"/>
          <w:i w:val="1"/>
          <w:smallCaps w:val="0"/>
          <w:strike w:val="0"/>
          <w:color w:val="000000"/>
          <w:sz w:val="17"/>
          <w:szCs w:val="17"/>
          <w:highlight w:val="white"/>
          <w:u w:val="none"/>
          <w:vertAlign w:val="baseline"/>
          <w:rtl w:val="0"/>
        </w:rPr>
        <w:t xml:space="preserve">Final Fantasy </w:t>
      </w:r>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tend to be more indirect, with allusive imagery and thinly veiled dialogue </w:t>
      </w:r>
      <w:hyperlink r:id="rId13">
        <w:r w:rsidDel="00000000" w:rsidR="00000000" w:rsidRPr="00000000">
          <w:rPr>
            <w:rFonts w:ascii="Verdana" w:cs="Verdana" w:eastAsia="Verdana" w:hAnsi="Verdana"/>
            <w:b w:val="0"/>
            <w:i w:val="0"/>
            <w:smallCaps w:val="0"/>
            <w:strike w:val="0"/>
            <w:color w:val="0000ff"/>
            <w:sz w:val="17"/>
            <w:szCs w:val="17"/>
            <w:highlight w:val="white"/>
            <w:u w:val="single"/>
            <w:vertAlign w:val="baseline"/>
            <w:rtl w:val="0"/>
          </w:rPr>
          <w:t xml:space="preserve">[14]</w:t>
        </w:r>
      </w:hyperlink>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 In the vast majority of videogames, the ideological subtext or commentary is more subtle. Understatement has its advantages -- it promotes wide sales, the artist avoids censorship, and the idea of a “hidden message” is attractive for enthusiastic fans, or for those players who are paying close attention. But the question remains, how closely does the player have to pay attention in order to “get” the ideology of the game? How observant, in other words, do we need to be?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highlight w:val="white"/>
          <w:u w:val="none"/>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u w:val="none"/>
          <w:shd w:fill="auto" w:val="clear"/>
          <w:vertAlign w:val="baseline"/>
        </w:rPr>
      </w:pPr>
      <w:bookmarkStart w:colFirst="0" w:colLast="0" w:name="_heading=h.4d34og8" w:id="8"/>
      <w:bookmarkEnd w:id="8"/>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Placing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Breath of the Wild</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in the context of its genre, many Japanese roleplaying games tend to follow a linear story structure </w:t>
      </w:r>
      <w:hyperlink r:id="rId14">
        <w:r w:rsidDel="00000000" w:rsidR="00000000" w:rsidRPr="00000000">
          <w:rPr>
            <w:rFonts w:ascii="Verdana" w:cs="Verdana" w:eastAsia="Verdana" w:hAnsi="Verdana"/>
            <w:b w:val="0"/>
            <w:i w:val="0"/>
            <w:smallCaps w:val="0"/>
            <w:strike w:val="0"/>
            <w:color w:val="0000ff"/>
            <w:sz w:val="17"/>
            <w:szCs w:val="17"/>
            <w:u w:val="single"/>
            <w:shd w:fill="auto" w:val="clear"/>
            <w:vertAlign w:val="baseline"/>
            <w:rtl w:val="0"/>
          </w:rPr>
          <w:t xml:space="preserve">[18]</w:t>
        </w:r>
      </w:hyperlink>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Earlier games in the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Final Fantasy </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or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Dragon Quest </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series have tight A-B structures in the narrative and exploration, with obvious signposts in conversations and the environment on where to go next. The turn-based battles so typical of the genre place strict limitations on characters in terms of when and how they can fight. The player “follows the script” and experiences the story as the designer wrote it. In these games, “observant play” is neither necessary nor possible. Later iterations of the JRPG expanded story possibilities to offer different endings dependent on player choices -- a good example is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Chrono Trigger </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(Square, 1995), which popularized the notion of collecting different endings to gain a more complete understanding of the gameworld as a whole. Players could also skip around between time periods and follow their own pathway through multiple scenarios. However, each scenario in itself had a clearly delineated path, each with an exploratory phase, minor battles, story revelation and boss fight. In open worlds like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Breath of the Wild</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the scripted pathways and limitations on the player are less obvious. Watching my students explore Hyrule, I started to wonder, what happens if we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only </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follow instructions? What kind of ideology are we exposed to if we severely restrict ourselves in this open world, and go only where the game explicitly tells us?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u w:val="none"/>
          <w:shd w:fill="auto" w:val="clear"/>
          <w:vertAlign w:val="baseline"/>
        </w:rPr>
      </w:pP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To answer these questions, I decided to follow a strict playthrough of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Breath of the Wild</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to go only where directed, and observe closely what I saw in the game environment in tandem with narrative developments. By doing this, I hoped to discover what the game was telling the attentive player, and how ideology was conveyed. Whether or not the colonialist reading would hold up to scrutiny was also on my list of research questions. I took three months to complete the playthrough, helping the tribal Champions reactivate their weapons, acquiring the Master Sword and defeating Calamity Ganon. This playthrough took place after I had already finished the game twice in a casual, exploratory fashion. The experience of “observant play” was very different, and revealed many ideas in the game that I did not notice the first time around. The section below describes my experience following instructions and observing events. This close reading aims to highlight the significance of in-game instructions and their results, bringing attention to the architecture put in place by Fujibayashi and his colleagues. I hope to further illuminate how the player is able to decode ideological content, through narrative, rules and the auditory and visual clues given by the game environment.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u w:val="none"/>
          <w:shd w:fill="auto" w:val="clear"/>
          <w:vertAlign w:val="baseline"/>
        </w:rPr>
      </w:pP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“From my three-month playthrough of </w:t>
      </w:r>
      <w:r w:rsidDel="00000000" w:rsidR="00000000" w:rsidRPr="00000000">
        <w:rPr>
          <w:rFonts w:ascii="Verdana" w:cs="Verdana" w:eastAsia="Verdana" w:hAnsi="Verdana"/>
          <w:b w:val="0"/>
          <w:i w:val="1"/>
          <w:smallCaps w:val="0"/>
          <w:strike w:val="0"/>
          <w:color w:val="000000"/>
          <w:sz w:val="17"/>
          <w:szCs w:val="17"/>
          <w:u w:val="none"/>
          <w:shd w:fill="auto" w:val="clear"/>
          <w:vertAlign w:val="baseline"/>
          <w:rtl w:val="0"/>
        </w:rPr>
        <w:t xml:space="preserve">Breath of the Wild</w:t>
      </w: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 I found that strictly following instructions in the open world environment was quite difficult, as my natural inclination was to stray from the path, climb the cliff, jump in the water and “see what happens.” The player’s own will to observe becomes important -- when their interest is piqued by something in the environment, their attention shifts. “Observant play” then becomes not so much “observing the stated rules” but “observing visual cues” (following interesting aspects of the environment) or “observing certain behaviours” (following self-imposed rules, based on ethics or self-challenge). What players find interesting, ethical, or a challenge is subjective, and will vary greatly. For me, the point where “observing external game rules” shifted to “observing internal ethical rules” was triggered by the dancing Lizalfos. At this point, observing the game instructions shifted to my own system of observance, based on prior knowledge of Japanese discourses on technology, colonialism and the civilized/uncivilized binary. In terms of ideological readings of a game text, this shift could be seen as either “distracting” from the main pathway (privileging one reading over others), or as “deepening” one’s understanding of the gameworld (allowing for many individual readings).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u w:val="none"/>
          <w:shd w:fill="auto" w:val="clear"/>
          <w:vertAlign w:val="baseline"/>
        </w:rPr>
      </w:pPr>
      <w:r w:rsidDel="00000000" w:rsidR="00000000" w:rsidRPr="00000000">
        <w:rPr>
          <w:rFonts w:ascii="Verdana" w:cs="Verdana" w:eastAsia="Verdana" w:hAnsi="Verdana"/>
          <w:b w:val="0"/>
          <w:i w:val="0"/>
          <w:smallCaps w:val="0"/>
          <w:strike w:val="0"/>
          <w:color w:val="000000"/>
          <w:sz w:val="17"/>
          <w:szCs w:val="17"/>
          <w:u w:val="none"/>
          <w:shd w:fill="auto" w:val="clear"/>
          <w:vertAlign w:val="baseline"/>
          <w:rtl w:val="0"/>
        </w:rPr>
        <w:t xml:space="preserve">Open-world play cannot be entirely scripted, as designers must account for differing styles of individual play. But the architecture of the game, its rules, regulations, environment and narrative, is scripted and pre-designed. The ideology of such a game cannot lie entirely in the scripted shell, as the player brings their own interpretive structure with them. Perhaps the value of the open world is not to discern the scripted path -- what we think the designers consciously included as an ideological message -- but to discern our own interpretation and the limits we wish to impose on our own play, if any. “Observant play” allows us to move from one interpretive framework to another, from the observance of external to internal rules. In the open world, ideology lies also in the epistemological framework by which we comprehend and make sense of the infinite potentialities of the game environment. In this sense, observant play and self-limitation help us to impose an interpretive framework on an otherwise overwhelming world.”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17"/>
          <w:szCs w:val="17"/>
          <w:u w:val="none"/>
          <w:shd w:fill="auto" w:val="clear"/>
          <w:vertAlign w:val="baseline"/>
        </w:rPr>
      </w:pPr>
      <w:r w:rsidDel="00000000" w:rsidR="00000000" w:rsidRPr="00000000">
        <w:rPr>
          <w:rFonts w:ascii="Verdana" w:cs="Verdana" w:eastAsia="Verdana" w:hAnsi="Verdana"/>
          <w:b w:val="0"/>
          <w:i w:val="0"/>
          <w:smallCaps w:val="0"/>
          <w:strike w:val="0"/>
          <w:color w:val="000000"/>
          <w:sz w:val="17"/>
          <w:szCs w:val="17"/>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Verdan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6343C1"/>
    <w:rPr>
      <w:i w:val="1"/>
      <w:iCs w:val="1"/>
    </w:rPr>
  </w:style>
  <w:style w:type="paragraph" w:styleId="NormalWeb">
    <w:name w:val="Normal (Web)"/>
    <w:basedOn w:val="Normal"/>
    <w:uiPriority w:val="99"/>
    <w:semiHidden w:val="1"/>
    <w:unhideWhenUsed w:val="1"/>
    <w:rsid w:val="00D506BC"/>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066A80"/>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gamestudies.org/2103/articles/hutchinson#_edn12" TargetMode="External"/><Relationship Id="rId10" Type="http://schemas.openxmlformats.org/officeDocument/2006/relationships/hyperlink" Target="http://gamestudies.org/2103/articles/hutchinson#_edn11" TargetMode="External"/><Relationship Id="rId13" Type="http://schemas.openxmlformats.org/officeDocument/2006/relationships/hyperlink" Target="http://gamestudies.org/2103/articles/hutchinson#_edn14" TargetMode="External"/><Relationship Id="rId12" Type="http://schemas.openxmlformats.org/officeDocument/2006/relationships/hyperlink" Target="http://gamestudies.org/2103/articles/hutchinson#_edn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amestudies.org/2103/articles/hutchinson#_edn10" TargetMode="External"/><Relationship Id="rId14" Type="http://schemas.openxmlformats.org/officeDocument/2006/relationships/hyperlink" Target="http://gamestudies.org/2103/articles/hutchinson#_edn1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amestudies.org/2103/articles/hutchinson#_edn2" TargetMode="External"/><Relationship Id="rId8" Type="http://schemas.openxmlformats.org/officeDocument/2006/relationships/hyperlink" Target="http://gamestudies.org/2103/articles/hutchinson#_edn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nTyLXEtjRPUYVX2+j+gHzMJJWQ==">AMUW2mX+mJNwRMcuAvXhhQC425nj8uFXBmydvZXUegIiuNT6ZjTW0t1irxJEXYhutWAxV3tv1tLflcM2c7eaawtCld5zNBnZZWh3UoiNdpcqxjvAkb/8e/P/nw05GwLrnJLpmrzEboCvJfrAplp6ag/vUaJeaFVTqIp1NXeJlQStUz8GS3mgbpW+6HFD+8IqMfsGXdkovLKP0AePBfdrvpm7NZoXcVHqWJliPoCjCyc3nSMlCZd6FbQ=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2022-11-07T14:18:00Z</dcterms:created>
  <dc:creator>Vee Kennedy</dc:creator>
</cp:coreProperties>
</file>