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rPr>
          <w:color w:val="2d3b45"/>
          <w:sz w:val="24"/>
          <w:szCs w:val="24"/>
        </w:rPr>
      </w:pPr>
      <w:r w:rsidDel="00000000" w:rsidR="00000000" w:rsidRPr="00000000">
        <w:rPr>
          <w:color w:val="2d3b45"/>
          <w:sz w:val="24"/>
          <w:szCs w:val="24"/>
          <w:rtl w:val="0"/>
        </w:rPr>
        <w:t xml:space="preserve">Keeping in mind the discussions and the advice in the asynchronous modules on preliminary research and defining the scope of your research, provide a short (250-500 word) summary of your preliminary research question and trajectory. Make sure to include:</w:t>
      </w:r>
    </w:p>
    <w:p w:rsidR="00000000" w:rsidDel="00000000" w:rsidP="00000000" w:rsidRDefault="00000000" w:rsidRPr="00000000" w14:paraId="00000002">
      <w:pPr>
        <w:numPr>
          <w:ilvl w:val="0"/>
          <w:numId w:val="2"/>
        </w:numPr>
        <w:shd w:fill="ffffff" w:val="clear"/>
        <w:spacing w:after="0" w:afterAutospacing="0" w:lineRule="auto"/>
        <w:ind w:left="1100" w:hanging="360"/>
      </w:pPr>
      <w:r w:rsidDel="00000000" w:rsidR="00000000" w:rsidRPr="00000000">
        <w:rPr>
          <w:color w:val="2d3b45"/>
          <w:sz w:val="24"/>
          <w:szCs w:val="24"/>
          <w:rtl w:val="0"/>
        </w:rPr>
        <w:t xml:space="preserve">Any readings from class thus far that have informed your research question, or work you see on the syllabus that you expect to engage. Remember, your question must connect to at least one of the core texts we are reading.</w:t>
      </w:r>
    </w:p>
    <w:p w:rsidR="00000000" w:rsidDel="00000000" w:rsidP="00000000" w:rsidRDefault="00000000" w:rsidRPr="00000000" w14:paraId="00000003">
      <w:pPr>
        <w:numPr>
          <w:ilvl w:val="0"/>
          <w:numId w:val="2"/>
        </w:numPr>
        <w:shd w:fill="ffffff" w:val="clear"/>
        <w:spacing w:after="0" w:afterAutospacing="0" w:lineRule="auto"/>
        <w:ind w:left="1100" w:hanging="360"/>
      </w:pPr>
      <w:r w:rsidDel="00000000" w:rsidR="00000000" w:rsidRPr="00000000">
        <w:rPr>
          <w:color w:val="2d3b45"/>
          <w:sz w:val="24"/>
          <w:szCs w:val="24"/>
          <w:rtl w:val="0"/>
        </w:rPr>
        <w:t xml:space="preserve">Any additional readings or search findings that have informed your research question - remember that this abstract and plan will work best when it reflects your existing expertise alongside our new readings and conversations.</w:t>
      </w:r>
    </w:p>
    <w:p w:rsidR="00000000" w:rsidDel="00000000" w:rsidP="00000000" w:rsidRDefault="00000000" w:rsidRPr="00000000" w14:paraId="00000004">
      <w:pPr>
        <w:numPr>
          <w:ilvl w:val="0"/>
          <w:numId w:val="2"/>
        </w:numPr>
        <w:shd w:fill="ffffff" w:val="clear"/>
        <w:spacing w:after="200" w:lineRule="auto"/>
        <w:ind w:left="1100" w:hanging="360"/>
      </w:pPr>
      <w:r w:rsidDel="00000000" w:rsidR="00000000" w:rsidRPr="00000000">
        <w:rPr>
          <w:color w:val="2d3b45"/>
          <w:sz w:val="24"/>
          <w:szCs w:val="24"/>
          <w:rtl w:val="0"/>
        </w:rPr>
        <w:t xml:space="preserve">Any initial thoughts you have on an appropriate methodology, target journal, or audience for your research - consider looking for venues in your target area of specialization.</w:t>
      </w:r>
    </w:p>
    <w:p w:rsidR="00000000" w:rsidDel="00000000" w:rsidP="00000000" w:rsidRDefault="00000000" w:rsidRPr="00000000" w14:paraId="00000005">
      <w:pPr>
        <w:shd w:fill="ffffff" w:val="clear"/>
        <w:spacing w:after="180" w:before="180" w:lineRule="auto"/>
        <w:rPr>
          <w:color w:val="2d3b45"/>
          <w:sz w:val="24"/>
          <w:szCs w:val="24"/>
        </w:rPr>
      </w:pPr>
      <w:r w:rsidDel="00000000" w:rsidR="00000000" w:rsidRPr="00000000">
        <w:rPr>
          <w:color w:val="2d3b45"/>
          <w:sz w:val="24"/>
          <w:szCs w:val="24"/>
          <w:rtl w:val="0"/>
        </w:rPr>
        <w:t xml:space="preserve">It's OK if these ideas are unformed: this is an opportunity to get guidance on where to look and how to move forward with your preliminary interests.</w:t>
      </w:r>
    </w:p>
    <w:p w:rsidR="00000000" w:rsidDel="00000000" w:rsidP="00000000" w:rsidRDefault="00000000" w:rsidRPr="00000000" w14:paraId="00000006">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07">
      <w:pPr>
        <w:shd w:fill="ffffff" w:val="clear"/>
        <w:spacing w:after="180" w:before="180" w:lineRule="auto"/>
        <w:rPr>
          <w:color w:val="2d3b45"/>
          <w:sz w:val="24"/>
          <w:szCs w:val="24"/>
        </w:rPr>
      </w:pPr>
      <w:r w:rsidDel="00000000" w:rsidR="00000000" w:rsidRPr="00000000">
        <w:rPr>
          <w:color w:val="2d3b45"/>
          <w:sz w:val="24"/>
          <w:szCs w:val="24"/>
          <w:rtl w:val="0"/>
        </w:rPr>
        <w:t xml:space="preserve">POKEMON + AUTISM + SOCIAL SCRIPTS AND PROCEDURAL RHETORIC AS A THEORY FOR THE POPULARITY OF POKEMON AMONG NEURODIVERGENTS </w:t>
      </w:r>
    </w:p>
    <w:p w:rsidR="00000000" w:rsidDel="00000000" w:rsidP="00000000" w:rsidRDefault="00000000" w:rsidRPr="00000000" w14:paraId="00000008">
      <w:pPr>
        <w:shd w:fill="ffffff" w:val="clear"/>
        <w:spacing w:after="180" w:before="180" w:lineRule="auto"/>
        <w:rPr>
          <w:color w:val="2d3b45"/>
          <w:sz w:val="24"/>
          <w:szCs w:val="24"/>
        </w:rPr>
      </w:pPr>
      <w:r w:rsidDel="00000000" w:rsidR="00000000" w:rsidRPr="00000000">
        <w:rPr>
          <w:color w:val="2d3b45"/>
          <w:sz w:val="24"/>
          <w:szCs w:val="24"/>
          <w:rtl w:val="0"/>
        </w:rPr>
        <w:t xml:space="preserve">For publication in the symposium part of transformative works and cultures 2023 issue on fandom </w:t>
      </w:r>
    </w:p>
    <w:p w:rsidR="00000000" w:rsidDel="00000000" w:rsidP="00000000" w:rsidRDefault="00000000" w:rsidRPr="00000000" w14:paraId="00000009">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0A">
      <w:pPr>
        <w:shd w:fill="ffffff" w:val="clear"/>
        <w:spacing w:after="180" w:before="180" w:lineRule="auto"/>
        <w:rPr>
          <w:rFonts w:ascii="Roboto" w:cs="Roboto" w:eastAsia="Roboto" w:hAnsi="Roboto"/>
          <w:color w:val="2d3b45"/>
          <w:sz w:val="21"/>
          <w:szCs w:val="21"/>
        </w:rPr>
      </w:pPr>
      <w:r w:rsidDel="00000000" w:rsidR="00000000" w:rsidRPr="00000000">
        <w:rPr>
          <w:color w:val="2d3b45"/>
          <w:sz w:val="24"/>
          <w:szCs w:val="24"/>
          <w:rtl w:val="0"/>
        </w:rPr>
        <w:t xml:space="preserve">“</w:t>
      </w:r>
      <w:r w:rsidDel="00000000" w:rsidR="00000000" w:rsidRPr="00000000">
        <w:rPr>
          <w:rFonts w:ascii="Roboto" w:cs="Roboto" w:eastAsia="Roboto" w:hAnsi="Roboto"/>
          <w:color w:val="2d3b45"/>
          <w:sz w:val="21"/>
          <w:szCs w:val="21"/>
          <w:rtl w:val="0"/>
        </w:rPr>
        <w:t xml:space="preserve">Transformative Works and Cultures (TWC) is an international, peer-reviewed journal published by the Organization for Transformative Works. TWC publishes articles about transformative works, broadly conceived; articles about media studies; and articles about the fan community.</w:t>
      </w:r>
    </w:p>
    <w:p w:rsidR="00000000" w:rsidDel="00000000" w:rsidP="00000000" w:rsidRDefault="00000000" w:rsidRPr="00000000" w14:paraId="0000000B">
      <w:pPr>
        <w:shd w:fill="ffffff" w:val="clear"/>
        <w:spacing w:after="340" w:before="340" w:lineRule="auto"/>
        <w:jc w:val="both"/>
        <w:rPr>
          <w:rFonts w:ascii="Roboto" w:cs="Roboto" w:eastAsia="Roboto" w:hAnsi="Roboto"/>
          <w:color w:val="2d3b45"/>
          <w:sz w:val="21"/>
          <w:szCs w:val="21"/>
        </w:rPr>
      </w:pPr>
      <w:r w:rsidDel="00000000" w:rsidR="00000000" w:rsidRPr="00000000">
        <w:rPr>
          <w:rFonts w:ascii="Roboto" w:cs="Roboto" w:eastAsia="Roboto" w:hAnsi="Roboto"/>
          <w:color w:val="2d3b45"/>
          <w:sz w:val="21"/>
          <w:szCs w:val="21"/>
          <w:rtl w:val="0"/>
        </w:rPr>
        <w:t xml:space="preserve">We invite papers in all areas, including fan fiction, fan vids, film, TV, anime, comic books, fan community, video games, and machinima. We encourage a variety of critical approaches, including feminism, gender studies, queer theory, postcolonial theory, audience theory, reader-response theory, literary criticism, film studies, and posthumanism. We also encourage authors to consider writing personal essays integrated with scholarship; hyperlinked articles; or other forms that test the limits of the genre of academic writing.</w:t>
      </w:r>
    </w:p>
    <w:p w:rsidR="00000000" w:rsidDel="00000000" w:rsidP="00000000" w:rsidRDefault="00000000" w:rsidRPr="00000000" w14:paraId="0000000C">
      <w:pPr>
        <w:shd w:fill="ffffff" w:val="clear"/>
        <w:spacing w:after="180" w:before="180" w:lineRule="auto"/>
        <w:rPr>
          <w:color w:val="2d3b45"/>
          <w:sz w:val="24"/>
          <w:szCs w:val="24"/>
        </w:rPr>
      </w:pPr>
      <w:r w:rsidDel="00000000" w:rsidR="00000000" w:rsidRPr="00000000">
        <w:rPr>
          <w:color w:val="2d3b45"/>
          <w:sz w:val="24"/>
          <w:szCs w:val="24"/>
          <w:rtl w:val="0"/>
        </w:rPr>
        <w:t xml:space="preserve">“ </w:t>
      </w:r>
      <w:hyperlink r:id="rId6">
        <w:r w:rsidDel="00000000" w:rsidR="00000000" w:rsidRPr="00000000">
          <w:rPr>
            <w:color w:val="1155cc"/>
            <w:sz w:val="24"/>
            <w:szCs w:val="24"/>
            <w:u w:val="single"/>
            <w:rtl w:val="0"/>
          </w:rPr>
          <w:t xml:space="preserve">https://journal.transformativeworks.org/index.php/twc/announcement/view/111</w:t>
        </w:r>
      </w:hyperlink>
      <w:r w:rsidDel="00000000" w:rsidR="00000000" w:rsidRPr="00000000">
        <w:rPr>
          <w:rtl w:val="0"/>
        </w:rPr>
      </w:r>
    </w:p>
    <w:p w:rsidR="00000000" w:rsidDel="00000000" w:rsidP="00000000" w:rsidRDefault="00000000" w:rsidRPr="00000000" w14:paraId="0000000D">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0E">
      <w:pPr>
        <w:shd w:fill="ffffff" w:val="clear"/>
        <w:spacing w:after="340" w:lineRule="auto"/>
        <w:rPr>
          <w:rFonts w:ascii="Roboto" w:cs="Roboto" w:eastAsia="Roboto" w:hAnsi="Roboto"/>
          <w:color w:val="2d3b45"/>
          <w:sz w:val="21"/>
          <w:szCs w:val="21"/>
        </w:rPr>
      </w:pPr>
      <w:r w:rsidDel="00000000" w:rsidR="00000000" w:rsidRPr="00000000">
        <w:rPr>
          <w:rFonts w:ascii="Roboto" w:cs="Roboto" w:eastAsia="Roboto" w:hAnsi="Roboto"/>
          <w:color w:val="2d3b45"/>
          <w:sz w:val="21"/>
          <w:szCs w:val="21"/>
          <w:rtl w:val="0"/>
        </w:rPr>
        <w:t xml:space="preserve">Fandom today is often entangled with digital platforms, which offer spaces and features that make some aspects of fan culture more widely accessible amid increasingly globalized communities and models of consumption. Fans are perceived to be early adopters of new technologies, particularly those that provide space for gathering and community building. Likewise, many types of fan works, fan labor, and fandom participation depend on certain platforms for hosting, sharing, distributing, and discussing such content. However, fans also have complicated relationships with platforms, whether because their needs and uses are in conflict with other stakeholders or because platforms can generate and challenge notions of access,</w:t>
      </w:r>
    </w:p>
    <w:p w:rsidR="00000000" w:rsidDel="00000000" w:rsidP="00000000" w:rsidRDefault="00000000" w:rsidRPr="00000000" w14:paraId="0000000F">
      <w:pPr>
        <w:shd w:fill="ffffff" w:val="clear"/>
        <w:spacing w:after="340" w:lineRule="auto"/>
        <w:rPr>
          <w:rFonts w:ascii="Roboto" w:cs="Roboto" w:eastAsia="Roboto" w:hAnsi="Roboto"/>
          <w:color w:val="2d3b45"/>
          <w:sz w:val="21"/>
          <w:szCs w:val="21"/>
        </w:rPr>
      </w:pPr>
      <w:r w:rsidDel="00000000" w:rsidR="00000000" w:rsidRPr="00000000">
        <w:rPr>
          <w:rFonts w:ascii="Roboto" w:cs="Roboto" w:eastAsia="Roboto" w:hAnsi="Roboto"/>
          <w:color w:val="2d3b45"/>
          <w:sz w:val="21"/>
          <w:szCs w:val="21"/>
          <w:rtl w:val="0"/>
        </w:rPr>
        <w:t xml:space="preserve">accountability, and community.</w:t>
      </w:r>
    </w:p>
    <w:p w:rsidR="00000000" w:rsidDel="00000000" w:rsidP="00000000" w:rsidRDefault="00000000" w:rsidRPr="00000000" w14:paraId="00000010">
      <w:pPr>
        <w:shd w:fill="ffffff" w:val="clear"/>
        <w:spacing w:after="340" w:before="340" w:lineRule="auto"/>
        <w:rPr>
          <w:rFonts w:ascii="Roboto" w:cs="Roboto" w:eastAsia="Roboto" w:hAnsi="Roboto"/>
          <w:color w:val="2d3b45"/>
          <w:sz w:val="21"/>
          <w:szCs w:val="21"/>
        </w:rPr>
      </w:pPr>
      <w:r w:rsidDel="00000000" w:rsidR="00000000" w:rsidRPr="00000000">
        <w:rPr>
          <w:rFonts w:ascii="Roboto" w:cs="Roboto" w:eastAsia="Roboto" w:hAnsi="Roboto"/>
          <w:color w:val="2d3b45"/>
          <w:sz w:val="21"/>
          <w:szCs w:val="21"/>
          <w:rtl w:val="0"/>
        </w:rPr>
        <w:t xml:space="preserve">This special issue seeks to explore how, in the broadest sense, fans and fandom communities engage with platforms. We are particularly interested in essays that complicate a “black box” view of platforms or that engage critically with what platforms make possible for their users, as well as how and/or why. Ideally, such contributions will further understanding of how interactions among fans, fandoms, texts, and fan works are coconstitutive of the spaces in which they operate. We encourage contributions from fans as well as from fan studies scholars; we are particularly interested in works that cover or draw from global contexts.</w:t>
      </w:r>
    </w:p>
    <w:p w:rsidR="00000000" w:rsidDel="00000000" w:rsidP="00000000" w:rsidRDefault="00000000" w:rsidRPr="00000000" w14:paraId="00000011">
      <w:pPr>
        <w:shd w:fill="ffffff" w:val="clear"/>
        <w:spacing w:after="340" w:before="340" w:lineRule="auto"/>
        <w:rPr>
          <w:rFonts w:ascii="Roboto" w:cs="Roboto" w:eastAsia="Roboto" w:hAnsi="Roboto"/>
          <w:color w:val="2d3b45"/>
          <w:sz w:val="21"/>
          <w:szCs w:val="21"/>
        </w:rPr>
      </w:pPr>
      <w:r w:rsidDel="00000000" w:rsidR="00000000" w:rsidRPr="00000000">
        <w:rPr>
          <w:rFonts w:ascii="Roboto" w:cs="Roboto" w:eastAsia="Roboto" w:hAnsi="Roboto"/>
          <w:color w:val="2d3b45"/>
          <w:sz w:val="21"/>
          <w:szCs w:val="21"/>
          <w:rtl w:val="0"/>
        </w:rPr>
        <w:t xml:space="preserve">Topics may include:</w:t>
      </w:r>
    </w:p>
    <w:p w:rsidR="00000000" w:rsidDel="00000000" w:rsidP="00000000" w:rsidRDefault="00000000" w:rsidRPr="00000000" w14:paraId="00000012">
      <w:pPr>
        <w:numPr>
          <w:ilvl w:val="0"/>
          <w:numId w:val="1"/>
        </w:numPr>
        <w:shd w:fill="ffffff" w:val="clear"/>
        <w:spacing w:after="0" w:afterAutospacing="0" w:before="220" w:lineRule="auto"/>
        <w:ind w:left="720" w:hanging="360"/>
        <w:rPr>
          <w:color w:val="2d3b45"/>
        </w:rPr>
      </w:pPr>
      <w:r w:rsidDel="00000000" w:rsidR="00000000" w:rsidRPr="00000000">
        <w:rPr>
          <w:rFonts w:ascii="Roboto" w:cs="Roboto" w:eastAsia="Roboto" w:hAnsi="Roboto"/>
          <w:color w:val="2d3b45"/>
          <w:sz w:val="21"/>
          <w:szCs w:val="21"/>
          <w:rtl w:val="0"/>
        </w:rPr>
        <w:t xml:space="preserve">Connections between fans/fandoms and the platforms they utilize.</w:t>
      </w:r>
    </w:p>
    <w:p w:rsidR="00000000" w:rsidDel="00000000" w:rsidP="00000000" w:rsidRDefault="00000000" w:rsidRPr="00000000" w14:paraId="00000013">
      <w:pPr>
        <w:numPr>
          <w:ilvl w:val="0"/>
          <w:numId w:val="1"/>
        </w:numPr>
        <w:shd w:fill="ffffff" w:val="clear"/>
        <w:spacing w:after="0" w:afterAutospacing="0" w:before="0" w:beforeAutospacing="0" w:lineRule="auto"/>
        <w:ind w:left="720" w:hanging="360"/>
        <w:rPr>
          <w:color w:val="2d3b45"/>
        </w:rPr>
      </w:pPr>
      <w:r w:rsidDel="00000000" w:rsidR="00000000" w:rsidRPr="00000000">
        <w:rPr>
          <w:rFonts w:ascii="Roboto" w:cs="Roboto" w:eastAsia="Roboto" w:hAnsi="Roboto"/>
          <w:color w:val="2d3b45"/>
          <w:sz w:val="21"/>
          <w:szCs w:val="21"/>
          <w:rtl w:val="0"/>
        </w:rPr>
        <w:t xml:space="preserve">Fan/fandom migrations, practices, and communities enabled by platforms.</w:t>
      </w:r>
    </w:p>
    <w:p w:rsidR="00000000" w:rsidDel="00000000" w:rsidP="00000000" w:rsidRDefault="00000000" w:rsidRPr="00000000" w14:paraId="00000014">
      <w:pPr>
        <w:numPr>
          <w:ilvl w:val="0"/>
          <w:numId w:val="1"/>
        </w:numPr>
        <w:shd w:fill="ffffff" w:val="clear"/>
        <w:spacing w:after="0" w:afterAutospacing="0" w:before="0" w:beforeAutospacing="0" w:lineRule="auto"/>
        <w:ind w:left="720" w:hanging="360"/>
        <w:rPr>
          <w:color w:val="2d3b45"/>
        </w:rPr>
      </w:pPr>
      <w:r w:rsidDel="00000000" w:rsidR="00000000" w:rsidRPr="00000000">
        <w:rPr>
          <w:rFonts w:ascii="Roboto" w:cs="Roboto" w:eastAsia="Roboto" w:hAnsi="Roboto"/>
          <w:color w:val="2d3b45"/>
          <w:sz w:val="21"/>
          <w:szCs w:val="21"/>
          <w:rtl w:val="0"/>
        </w:rPr>
        <w:t xml:space="preserve">Platform policies, governance, affordances, and/or architectures as experienced by fans.</w:t>
      </w:r>
    </w:p>
    <w:p w:rsidR="00000000" w:rsidDel="00000000" w:rsidP="00000000" w:rsidRDefault="00000000" w:rsidRPr="00000000" w14:paraId="00000015">
      <w:pPr>
        <w:numPr>
          <w:ilvl w:val="0"/>
          <w:numId w:val="1"/>
        </w:numPr>
        <w:shd w:fill="ffffff" w:val="clear"/>
        <w:spacing w:after="0" w:afterAutospacing="0" w:before="0" w:beforeAutospacing="0" w:lineRule="auto"/>
        <w:ind w:left="720" w:hanging="360"/>
        <w:rPr>
          <w:color w:val="2d3b45"/>
        </w:rPr>
      </w:pPr>
      <w:r w:rsidDel="00000000" w:rsidR="00000000" w:rsidRPr="00000000">
        <w:rPr>
          <w:rFonts w:ascii="Roboto" w:cs="Roboto" w:eastAsia="Roboto" w:hAnsi="Roboto"/>
          <w:color w:val="2d3b45"/>
          <w:sz w:val="21"/>
          <w:szCs w:val="21"/>
          <w:rtl w:val="0"/>
        </w:rPr>
        <w:t xml:space="preserve">Platforms and questions of access (TOS, content moderation, etc.).</w:t>
      </w:r>
    </w:p>
    <w:p w:rsidR="00000000" w:rsidDel="00000000" w:rsidP="00000000" w:rsidRDefault="00000000" w:rsidRPr="00000000" w14:paraId="00000016">
      <w:pPr>
        <w:numPr>
          <w:ilvl w:val="0"/>
          <w:numId w:val="1"/>
        </w:numPr>
        <w:shd w:fill="ffffff" w:val="clear"/>
        <w:spacing w:after="0" w:afterAutospacing="0" w:before="0" w:beforeAutospacing="0" w:lineRule="auto"/>
        <w:ind w:left="720" w:hanging="360"/>
        <w:rPr>
          <w:color w:val="2d3b45"/>
        </w:rPr>
      </w:pPr>
      <w:r w:rsidDel="00000000" w:rsidR="00000000" w:rsidRPr="00000000">
        <w:rPr>
          <w:rFonts w:ascii="Roboto" w:cs="Roboto" w:eastAsia="Roboto" w:hAnsi="Roboto"/>
          <w:color w:val="2d3b45"/>
          <w:sz w:val="21"/>
          <w:szCs w:val="21"/>
          <w:rtl w:val="0"/>
        </w:rPr>
        <w:t xml:space="preserve">Networked harassment and other negative practices enacted on and/or enabled by platforms.</w:t>
      </w:r>
    </w:p>
    <w:p w:rsidR="00000000" w:rsidDel="00000000" w:rsidP="00000000" w:rsidRDefault="00000000" w:rsidRPr="00000000" w14:paraId="00000017">
      <w:pPr>
        <w:numPr>
          <w:ilvl w:val="0"/>
          <w:numId w:val="1"/>
        </w:numPr>
        <w:shd w:fill="ffffff" w:val="clear"/>
        <w:spacing w:after="0" w:afterAutospacing="0" w:before="0" w:beforeAutospacing="0" w:lineRule="auto"/>
        <w:ind w:left="720" w:hanging="360"/>
        <w:rPr>
          <w:color w:val="2d3b45"/>
        </w:rPr>
      </w:pPr>
      <w:r w:rsidDel="00000000" w:rsidR="00000000" w:rsidRPr="00000000">
        <w:rPr>
          <w:rFonts w:ascii="Roboto" w:cs="Roboto" w:eastAsia="Roboto" w:hAnsi="Roboto"/>
          <w:color w:val="2d3b45"/>
          <w:sz w:val="21"/>
          <w:szCs w:val="21"/>
          <w:rtl w:val="0"/>
        </w:rPr>
        <w:t xml:space="preserve">Genealogies and histories of fan communities and fan works shaped by specific platforms.</w:t>
      </w:r>
    </w:p>
    <w:p w:rsidR="00000000" w:rsidDel="00000000" w:rsidP="00000000" w:rsidRDefault="00000000" w:rsidRPr="00000000" w14:paraId="00000018">
      <w:pPr>
        <w:numPr>
          <w:ilvl w:val="0"/>
          <w:numId w:val="1"/>
        </w:numPr>
        <w:shd w:fill="ffffff" w:val="clear"/>
        <w:spacing w:after="0" w:afterAutospacing="0" w:before="0" w:beforeAutospacing="0" w:lineRule="auto"/>
        <w:ind w:left="720" w:hanging="360"/>
        <w:rPr>
          <w:color w:val="2d3b45"/>
        </w:rPr>
      </w:pPr>
      <w:r w:rsidDel="00000000" w:rsidR="00000000" w:rsidRPr="00000000">
        <w:rPr>
          <w:rFonts w:ascii="Roboto" w:cs="Roboto" w:eastAsia="Roboto" w:hAnsi="Roboto"/>
          <w:color w:val="2d3b45"/>
          <w:sz w:val="21"/>
          <w:szCs w:val="21"/>
          <w:rtl w:val="0"/>
        </w:rPr>
        <w:t xml:space="preserve">Platforms and fandoms less frequently addressed in fan studies.</w:t>
      </w:r>
    </w:p>
    <w:p w:rsidR="00000000" w:rsidDel="00000000" w:rsidP="00000000" w:rsidRDefault="00000000" w:rsidRPr="00000000" w14:paraId="00000019">
      <w:pPr>
        <w:numPr>
          <w:ilvl w:val="0"/>
          <w:numId w:val="1"/>
        </w:numPr>
        <w:shd w:fill="ffffff" w:val="clear"/>
        <w:spacing w:after="220" w:before="0" w:beforeAutospacing="0" w:lineRule="auto"/>
        <w:ind w:left="720" w:hanging="360"/>
        <w:rPr>
          <w:color w:val="2d3b45"/>
        </w:rPr>
      </w:pPr>
      <w:r w:rsidDel="00000000" w:rsidR="00000000" w:rsidRPr="00000000">
        <w:rPr>
          <w:rFonts w:ascii="Roboto" w:cs="Roboto" w:eastAsia="Roboto" w:hAnsi="Roboto"/>
          <w:color w:val="2d3b45"/>
          <w:sz w:val="21"/>
          <w:szCs w:val="21"/>
          <w:rtl w:val="0"/>
        </w:rPr>
        <w:t xml:space="preserve">Nondigital platforms, including relationships between digital and nondigital spaces.</w:t>
      </w:r>
    </w:p>
    <w:p w:rsidR="00000000" w:rsidDel="00000000" w:rsidP="00000000" w:rsidRDefault="00000000" w:rsidRPr="00000000" w14:paraId="0000001A">
      <w:pPr>
        <w:shd w:fill="ffffff" w:val="clear"/>
        <w:spacing w:after="340" w:before="340" w:lineRule="auto"/>
        <w:rPr>
          <w:rFonts w:ascii="Roboto" w:cs="Roboto" w:eastAsia="Roboto" w:hAnsi="Roboto"/>
          <w:color w:val="2d3b45"/>
          <w:sz w:val="21"/>
          <w:szCs w:val="21"/>
        </w:rPr>
      </w:pPr>
      <w:r w:rsidDel="00000000" w:rsidR="00000000" w:rsidRPr="00000000">
        <w:rPr>
          <w:rFonts w:ascii="Roboto" w:cs="Roboto" w:eastAsia="Roboto" w:hAnsi="Roboto"/>
          <w:color w:val="2d3b45"/>
          <w:sz w:val="21"/>
          <w:szCs w:val="21"/>
          <w:rtl w:val="0"/>
        </w:rPr>
        <w:t xml:space="preserve">Submission Guidelines</w:t>
      </w:r>
    </w:p>
    <w:p w:rsidR="00000000" w:rsidDel="00000000" w:rsidP="00000000" w:rsidRDefault="00000000" w:rsidRPr="00000000" w14:paraId="0000001B">
      <w:pPr>
        <w:shd w:fill="ffffff" w:val="clear"/>
        <w:spacing w:after="340" w:before="340" w:lineRule="auto"/>
        <w:rPr>
          <w:rFonts w:ascii="Roboto" w:cs="Roboto" w:eastAsia="Roboto" w:hAnsi="Roboto"/>
          <w:color w:val="2d3b45"/>
          <w:sz w:val="21"/>
          <w:szCs w:val="21"/>
        </w:rPr>
      </w:pPr>
      <w:r w:rsidDel="00000000" w:rsidR="00000000" w:rsidRPr="00000000">
        <w:rPr>
          <w:rFonts w:ascii="Roboto" w:cs="Roboto" w:eastAsia="Roboto" w:hAnsi="Roboto"/>
          <w:i w:val="1"/>
          <w:color w:val="2d3b45"/>
          <w:sz w:val="21"/>
          <w:szCs w:val="21"/>
          <w:rtl w:val="0"/>
        </w:rPr>
        <w:t xml:space="preserve">Transformative Works and Cultures</w:t>
      </w:r>
      <w:r w:rsidDel="00000000" w:rsidR="00000000" w:rsidRPr="00000000">
        <w:rPr>
          <w:rFonts w:ascii="Roboto" w:cs="Roboto" w:eastAsia="Roboto" w:hAnsi="Roboto"/>
          <w:color w:val="2d3b45"/>
          <w:sz w:val="21"/>
          <w:szCs w:val="21"/>
          <w:rtl w:val="0"/>
        </w:rPr>
        <w:t xml:space="preserve"> (TWC, </w:t>
      </w:r>
      <w:hyperlink r:id="rId7">
        <w:r w:rsidDel="00000000" w:rsidR="00000000" w:rsidRPr="00000000">
          <w:rPr>
            <w:rFonts w:ascii="Roboto" w:cs="Roboto" w:eastAsia="Roboto" w:hAnsi="Roboto"/>
            <w:color w:val="991b1e"/>
            <w:sz w:val="21"/>
            <w:szCs w:val="21"/>
            <w:u w:val="single"/>
            <w:rtl w:val="0"/>
          </w:rPr>
          <w:t xml:space="preserve">http://journal.transformativeworks.org/</w:t>
        </w:r>
      </w:hyperlink>
      <w:r w:rsidDel="00000000" w:rsidR="00000000" w:rsidRPr="00000000">
        <w:rPr>
          <w:rFonts w:ascii="Roboto" w:cs="Roboto" w:eastAsia="Roboto" w:hAnsi="Roboto"/>
          <w:color w:val="2d3b45"/>
          <w:sz w:val="21"/>
          <w:szCs w:val="21"/>
          <w:rtl w:val="0"/>
        </w:rPr>
        <w:t xml:space="preserve">) is an international, peer-reviewed, online Gold Open Access publication of the nonprofit Organization for Transformative Works, copyrighted under a Creative Commons License. TWC aims to provide a publishing outlet that welcomes fan-related topics and to promote dialogue between the academic community and the fan community. TWC accommodates academic articles of varying scope as well as other forms that embrace the technical possibilities of the Web and test the limits of the genre of academic writing.</w:t>
      </w:r>
    </w:p>
    <w:p w:rsidR="00000000" w:rsidDel="00000000" w:rsidP="00000000" w:rsidRDefault="00000000" w:rsidRPr="00000000" w14:paraId="0000001C">
      <w:pPr>
        <w:shd w:fill="ffffff" w:val="clear"/>
        <w:spacing w:after="340" w:before="340" w:lineRule="auto"/>
        <w:rPr>
          <w:rFonts w:ascii="Roboto" w:cs="Roboto" w:eastAsia="Roboto" w:hAnsi="Roboto"/>
          <w:color w:val="2d3b45"/>
          <w:sz w:val="21"/>
          <w:szCs w:val="21"/>
        </w:rPr>
      </w:pPr>
      <w:r w:rsidDel="00000000" w:rsidR="00000000" w:rsidRPr="00000000">
        <w:rPr>
          <w:rFonts w:ascii="Roboto" w:cs="Roboto" w:eastAsia="Roboto" w:hAnsi="Roboto"/>
          <w:color w:val="2d3b45"/>
          <w:sz w:val="21"/>
          <w:szCs w:val="21"/>
          <w:rtl w:val="0"/>
        </w:rPr>
        <w:t xml:space="preserve">Submit final papers directly to </w:t>
      </w:r>
      <w:r w:rsidDel="00000000" w:rsidR="00000000" w:rsidRPr="00000000">
        <w:rPr>
          <w:rFonts w:ascii="Roboto" w:cs="Roboto" w:eastAsia="Roboto" w:hAnsi="Roboto"/>
          <w:i w:val="1"/>
          <w:color w:val="2d3b45"/>
          <w:sz w:val="21"/>
          <w:szCs w:val="21"/>
          <w:rtl w:val="0"/>
        </w:rPr>
        <w:t xml:space="preserve">Transformative Works and Cultures</w:t>
      </w:r>
      <w:r w:rsidDel="00000000" w:rsidR="00000000" w:rsidRPr="00000000">
        <w:rPr>
          <w:rFonts w:ascii="Roboto" w:cs="Roboto" w:eastAsia="Roboto" w:hAnsi="Roboto"/>
          <w:color w:val="2d3b45"/>
          <w:sz w:val="21"/>
          <w:szCs w:val="21"/>
          <w:rtl w:val="0"/>
        </w:rPr>
        <w:t xml:space="preserve"> by January 1, 2023. </w:t>
      </w:r>
    </w:p>
    <w:p w:rsidR="00000000" w:rsidDel="00000000" w:rsidP="00000000" w:rsidRDefault="00000000" w:rsidRPr="00000000" w14:paraId="0000001D">
      <w:pPr>
        <w:shd w:fill="ffffff" w:val="clear"/>
        <w:spacing w:after="340" w:before="340" w:lineRule="auto"/>
        <w:rPr>
          <w:rFonts w:ascii="Roboto" w:cs="Roboto" w:eastAsia="Roboto" w:hAnsi="Roboto"/>
          <w:color w:val="2d3b45"/>
          <w:sz w:val="21"/>
          <w:szCs w:val="21"/>
        </w:rPr>
      </w:pPr>
      <w:r w:rsidDel="00000000" w:rsidR="00000000" w:rsidRPr="00000000">
        <w:rPr>
          <w:rtl w:val="0"/>
        </w:rPr>
      </w:r>
    </w:p>
    <w:p w:rsidR="00000000" w:rsidDel="00000000" w:rsidP="00000000" w:rsidRDefault="00000000" w:rsidRPr="00000000" w14:paraId="0000001E">
      <w:pPr>
        <w:shd w:fill="ffffff" w:val="clear"/>
        <w:spacing w:after="340" w:before="340" w:lineRule="auto"/>
        <w:rPr>
          <w:rFonts w:ascii="Roboto" w:cs="Roboto" w:eastAsia="Roboto" w:hAnsi="Roboto"/>
          <w:color w:val="2d3b45"/>
          <w:sz w:val="21"/>
          <w:szCs w:val="21"/>
        </w:rPr>
      </w:pPr>
      <w:r w:rsidDel="00000000" w:rsidR="00000000" w:rsidRPr="00000000">
        <w:rPr>
          <w:rFonts w:ascii="Roboto" w:cs="Roboto" w:eastAsia="Roboto" w:hAnsi="Roboto"/>
          <w:color w:val="2d3b45"/>
          <w:sz w:val="21"/>
          <w:szCs w:val="21"/>
          <w:rtl w:val="0"/>
        </w:rPr>
        <w:t xml:space="preserve">Articles: Peer review. 6,000–8,000 words.</w:t>
      </w:r>
    </w:p>
    <w:p w:rsidR="00000000" w:rsidDel="00000000" w:rsidP="00000000" w:rsidRDefault="00000000" w:rsidRPr="00000000" w14:paraId="0000001F">
      <w:pPr>
        <w:shd w:fill="ffffff" w:val="clear"/>
        <w:spacing w:after="340" w:before="340" w:lineRule="auto"/>
        <w:rPr>
          <w:rFonts w:ascii="Roboto" w:cs="Roboto" w:eastAsia="Roboto" w:hAnsi="Roboto"/>
          <w:color w:val="2d3b45"/>
          <w:sz w:val="21"/>
          <w:szCs w:val="21"/>
        </w:rPr>
      </w:pPr>
      <w:r w:rsidDel="00000000" w:rsidR="00000000" w:rsidRPr="00000000">
        <w:rPr>
          <w:rFonts w:ascii="Roboto" w:cs="Roboto" w:eastAsia="Roboto" w:hAnsi="Roboto"/>
          <w:color w:val="2d3b45"/>
          <w:sz w:val="21"/>
          <w:szCs w:val="21"/>
          <w:rtl w:val="0"/>
        </w:rPr>
        <w:t xml:space="preserve">Symposium: Editorial review. Under 4,000 words.</w:t>
      </w:r>
    </w:p>
    <w:p w:rsidR="00000000" w:rsidDel="00000000" w:rsidP="00000000" w:rsidRDefault="00000000" w:rsidRPr="00000000" w14:paraId="00000020">
      <w:pPr>
        <w:shd w:fill="ffffff" w:val="clear"/>
        <w:spacing w:after="340" w:before="340" w:lineRule="auto"/>
        <w:rPr>
          <w:rFonts w:ascii="Roboto" w:cs="Roboto" w:eastAsia="Roboto" w:hAnsi="Roboto"/>
          <w:color w:val="2d3b45"/>
          <w:sz w:val="21"/>
          <w:szCs w:val="21"/>
        </w:rPr>
      </w:pPr>
      <w:r w:rsidDel="00000000" w:rsidR="00000000" w:rsidRPr="00000000">
        <w:rPr>
          <w:rFonts w:ascii="Roboto" w:cs="Roboto" w:eastAsia="Roboto" w:hAnsi="Roboto"/>
          <w:color w:val="2d3b45"/>
          <w:sz w:val="21"/>
          <w:szCs w:val="21"/>
          <w:rtl w:val="0"/>
        </w:rPr>
        <w:t xml:space="preserve">Please visit TWC's Web site (</w:t>
      </w:r>
      <w:hyperlink r:id="rId8">
        <w:r w:rsidDel="00000000" w:rsidR="00000000" w:rsidRPr="00000000">
          <w:rPr>
            <w:rFonts w:ascii="Roboto" w:cs="Roboto" w:eastAsia="Roboto" w:hAnsi="Roboto"/>
            <w:color w:val="991b1e"/>
            <w:sz w:val="21"/>
            <w:szCs w:val="21"/>
            <w:u w:val="single"/>
            <w:rtl w:val="0"/>
          </w:rPr>
          <w:t xml:space="preserve">http://journal.transformativeworks.org/</w:t>
        </w:r>
      </w:hyperlink>
      <w:r w:rsidDel="00000000" w:rsidR="00000000" w:rsidRPr="00000000">
        <w:rPr>
          <w:rFonts w:ascii="Roboto" w:cs="Roboto" w:eastAsia="Roboto" w:hAnsi="Roboto"/>
          <w:color w:val="2d3b45"/>
          <w:sz w:val="21"/>
          <w:szCs w:val="21"/>
          <w:rtl w:val="0"/>
        </w:rPr>
        <w:t xml:space="preserve">) for complete submission guidelines, or e-mail the TWC Editor (</w:t>
      </w:r>
      <w:r w:rsidDel="00000000" w:rsidR="00000000" w:rsidRPr="00000000">
        <w:rPr>
          <w:rFonts w:ascii="Roboto" w:cs="Roboto" w:eastAsia="Roboto" w:hAnsi="Roboto"/>
          <w:color w:val="991b1e"/>
          <w:sz w:val="21"/>
          <w:szCs w:val="21"/>
          <w:rtl w:val="0"/>
        </w:rPr>
        <w:t xml:space="preserve">editor@transformativeworks.org</w:t>
      </w:r>
      <w:r w:rsidDel="00000000" w:rsidR="00000000" w:rsidRPr="00000000">
        <w:rPr>
          <w:rFonts w:ascii="Roboto" w:cs="Roboto" w:eastAsia="Roboto" w:hAnsi="Roboto"/>
          <w:color w:val="2d3b45"/>
          <w:sz w:val="21"/>
          <w:szCs w:val="21"/>
          <w:rtl w:val="0"/>
        </w:rPr>
        <w:t xml:space="preserve">).</w:t>
      </w:r>
    </w:p>
    <w:p w:rsidR="00000000" w:rsidDel="00000000" w:rsidP="00000000" w:rsidRDefault="00000000" w:rsidRPr="00000000" w14:paraId="00000021">
      <w:pPr>
        <w:shd w:fill="ffffff" w:val="clear"/>
        <w:spacing w:after="340" w:before="340" w:lineRule="auto"/>
        <w:rPr>
          <w:rFonts w:ascii="Roboto" w:cs="Roboto" w:eastAsia="Roboto" w:hAnsi="Roboto"/>
          <w:color w:val="2d3b45"/>
          <w:sz w:val="21"/>
          <w:szCs w:val="21"/>
        </w:rPr>
      </w:pPr>
      <w:r w:rsidDel="00000000" w:rsidR="00000000" w:rsidRPr="00000000">
        <w:rPr>
          <w:rFonts w:ascii="Roboto" w:cs="Roboto" w:eastAsia="Roboto" w:hAnsi="Roboto"/>
          <w:i w:val="1"/>
          <w:color w:val="2d3b45"/>
          <w:sz w:val="21"/>
          <w:szCs w:val="21"/>
          <w:rtl w:val="0"/>
        </w:rPr>
        <w:t xml:space="preserve">Contact</w:t>
      </w:r>
      <w:r w:rsidDel="00000000" w:rsidR="00000000" w:rsidRPr="00000000">
        <w:rPr>
          <w:rFonts w:ascii="Roboto" w:cs="Roboto" w:eastAsia="Roboto" w:hAnsi="Roboto"/>
          <w:color w:val="2d3b45"/>
          <w:sz w:val="21"/>
          <w:szCs w:val="21"/>
          <w:rtl w:val="0"/>
        </w:rPr>
        <w:t xml:space="preserve">—Contact guest editors Maria Alberto, Effie Sapuridis, and Lesley Willard with any questions before or after the due date at </w:t>
      </w:r>
      <w:r w:rsidDel="00000000" w:rsidR="00000000" w:rsidRPr="00000000">
        <w:rPr>
          <w:rFonts w:ascii="Roboto" w:cs="Roboto" w:eastAsia="Roboto" w:hAnsi="Roboto"/>
          <w:color w:val="991b1e"/>
          <w:sz w:val="21"/>
          <w:szCs w:val="21"/>
          <w:rtl w:val="0"/>
        </w:rPr>
        <w:t xml:space="preserve">fandom.and.platforms@gmail.com</w:t>
      </w:r>
      <w:r w:rsidDel="00000000" w:rsidR="00000000" w:rsidRPr="00000000">
        <w:rPr>
          <w:rFonts w:ascii="Roboto" w:cs="Roboto" w:eastAsia="Roboto" w:hAnsi="Roboto"/>
          <w:color w:val="2d3b45"/>
          <w:sz w:val="21"/>
          <w:szCs w:val="21"/>
          <w:rtl w:val="0"/>
        </w:rPr>
        <w:t xml:space="preserve">. </w:t>
      </w:r>
    </w:p>
    <w:p w:rsidR="00000000" w:rsidDel="00000000" w:rsidP="00000000" w:rsidRDefault="00000000" w:rsidRPr="00000000" w14:paraId="00000022">
      <w:pPr>
        <w:shd w:fill="ffffff" w:val="clear"/>
        <w:spacing w:before="340" w:lineRule="auto"/>
        <w:rPr>
          <w:rFonts w:ascii="Roboto" w:cs="Roboto" w:eastAsia="Roboto" w:hAnsi="Roboto"/>
          <w:color w:val="2d3b45"/>
          <w:sz w:val="21"/>
          <w:szCs w:val="21"/>
        </w:rPr>
      </w:pPr>
      <w:r w:rsidDel="00000000" w:rsidR="00000000" w:rsidRPr="00000000">
        <w:rPr>
          <w:rFonts w:ascii="Roboto" w:cs="Roboto" w:eastAsia="Roboto" w:hAnsi="Roboto"/>
          <w:i w:val="1"/>
          <w:color w:val="2d3b45"/>
          <w:sz w:val="21"/>
          <w:szCs w:val="21"/>
          <w:rtl w:val="0"/>
        </w:rPr>
        <w:t xml:space="preserve">Due date</w:t>
      </w:r>
      <w:r w:rsidDel="00000000" w:rsidR="00000000" w:rsidRPr="00000000">
        <w:rPr>
          <w:rFonts w:ascii="Roboto" w:cs="Roboto" w:eastAsia="Roboto" w:hAnsi="Roboto"/>
          <w:color w:val="2d3b45"/>
          <w:sz w:val="21"/>
          <w:szCs w:val="21"/>
          <w:rtl w:val="0"/>
        </w:rPr>
        <w:t xml:space="preserve">— January 1, 2023, for March 2024 publication.</w:t>
      </w:r>
    </w:p>
    <w:p w:rsidR="00000000" w:rsidDel="00000000" w:rsidP="00000000" w:rsidRDefault="00000000" w:rsidRPr="00000000" w14:paraId="00000023">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ournal.transformativeworks.org/index.php/twc/announcement/view/111" TargetMode="External"/><Relationship Id="rId7" Type="http://schemas.openxmlformats.org/officeDocument/2006/relationships/hyperlink" Target="http://journal.transformativeworks.org/" TargetMode="External"/><Relationship Id="rId8" Type="http://schemas.openxmlformats.org/officeDocument/2006/relationships/hyperlink" Target="http://journal.transformativework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