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u w:val="single"/>
        </w:rPr>
      </w:pPr>
      <w:r w:rsidDel="00000000" w:rsidR="00000000" w:rsidRPr="00000000">
        <w:rPr>
          <w:u w:val="single"/>
          <w:rtl w:val="0"/>
        </w:rPr>
        <w:t xml:space="preserve">Preliminary Abstract: Pokemon - Legends of Arceus: Procedural Rhetoric, Soft Power, and the Forced Miscegenation of Japan’s Indigenous People(s)</w:t>
      </w:r>
    </w:p>
    <w:p w:rsidR="00000000" w:rsidDel="00000000" w:rsidP="00000000" w:rsidRDefault="00000000" w:rsidRPr="00000000" w14:paraId="00000002">
      <w:pPr>
        <w:jc w:val="left"/>
        <w:rPr>
          <w:u w:val="single"/>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One of the biggest criticisms of the Pokemon handheld release franchise has also been one of its greatest attractors: Nintendo and GameFreak have, for twenty-six years, released two versions of nearly identical games for purchase and has reused the same procedural script in virtually each one of these games. The 2022 release of </w:t>
      </w:r>
      <w:r w:rsidDel="00000000" w:rsidR="00000000" w:rsidRPr="00000000">
        <w:rPr>
          <w:i w:val="1"/>
          <w:rtl w:val="0"/>
        </w:rPr>
        <w:t xml:space="preserve">Pokemon: Legends of Arceus</w:t>
      </w:r>
      <w:r w:rsidDel="00000000" w:rsidR="00000000" w:rsidRPr="00000000">
        <w:rPr>
          <w:rtl w:val="0"/>
        </w:rPr>
        <w:t xml:space="preserve"> saw the introduction of notable differences in the procedural rhetorics of the franchise and, for the first time, introduced a plotline appearing in a fictionalized past of a real place. </w:t>
      </w:r>
      <w:r w:rsidDel="00000000" w:rsidR="00000000" w:rsidRPr="00000000">
        <w:rPr>
          <w:i w:val="1"/>
          <w:rtl w:val="0"/>
        </w:rPr>
        <w:t xml:space="preserve">Arceus</w:t>
      </w:r>
      <w:r w:rsidDel="00000000" w:rsidR="00000000" w:rsidRPr="00000000">
        <w:rPr>
          <w:rtl w:val="0"/>
        </w:rPr>
        <w:t xml:space="preserve"> occurs sometime between the late 1880s and early 1900s, during the colonization of what Pokemon calls the Sinnoh or Hisui region, which corresponds to a real world location. Sinnoh maps on to the real-world modern day Japanese providence of Hokkaido and was the site of an intense colonization effort by the Japanese Imperial Army to take control of the island and to miscegenate the indigenous Ainu people into the Japanese Empire. </w:t>
      </w:r>
      <w:r w:rsidDel="00000000" w:rsidR="00000000" w:rsidRPr="00000000">
        <w:rPr>
          <w:i w:val="1"/>
          <w:rtl w:val="0"/>
        </w:rPr>
        <w:t xml:space="preserve">Arceus</w:t>
      </w:r>
      <w:r w:rsidDel="00000000" w:rsidR="00000000" w:rsidRPr="00000000">
        <w:rPr>
          <w:rtl w:val="0"/>
        </w:rPr>
        <w:t xml:space="preserve">, however, presents a whitewashed version of this history, one without indigenous people or colonization at all and instead with peaceful settlers from other lands who strive to peacefully coexist with the region’s Pokemon. I call upon Boghost’s procedural rhetoric and the concept of Japan’s soft power as presented through Japanese animation and video games to question the rhetorical work of </w:t>
      </w:r>
      <w:r w:rsidDel="00000000" w:rsidR="00000000" w:rsidRPr="00000000">
        <w:rPr>
          <w:i w:val="1"/>
          <w:rtl w:val="0"/>
        </w:rPr>
        <w:t xml:space="preserve">Arceus </w:t>
      </w:r>
      <w:r w:rsidDel="00000000" w:rsidR="00000000" w:rsidRPr="00000000">
        <w:rPr>
          <w:rtl w:val="0"/>
        </w:rPr>
        <w:t xml:space="preserve">and the implications of including revisionist history in the embodied processes of Pokemon including the ideologies and mistruths about Imperial Japan’s colonial history that are conveyed by the representations in</w:t>
      </w:r>
      <w:r w:rsidDel="00000000" w:rsidR="00000000" w:rsidRPr="00000000">
        <w:rPr>
          <w:i w:val="1"/>
          <w:rtl w:val="0"/>
        </w:rPr>
        <w:t xml:space="preserve"> Arceus</w:t>
      </w:r>
      <w:r w:rsidDel="00000000" w:rsidR="00000000" w:rsidRPr="00000000">
        <w:rPr>
          <w:rtl w:val="0"/>
        </w:rPr>
        <w:t xml:space="preserve">. </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t xml:space="preserve">Possible publication venues: </w:t>
      </w:r>
      <w:r w:rsidDel="00000000" w:rsidR="00000000" w:rsidRPr="00000000">
        <w:rPr>
          <w:i w:val="1"/>
          <w:rtl w:val="0"/>
        </w:rPr>
        <w:t xml:space="preserve">Game Studies </w:t>
      </w:r>
      <w:r w:rsidDel="00000000" w:rsidR="00000000" w:rsidRPr="00000000">
        <w:rPr>
          <w:rtl w:val="0"/>
        </w:rPr>
        <w:t xml:space="preserve">or the Journal of Games Criticism, if either of those publications survived COVID. </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center"/>
        <w:rPr>
          <w:color w:val="202122"/>
          <w:sz w:val="21"/>
          <w:szCs w:val="21"/>
          <w:highlight w:val="white"/>
          <w:u w:val="single"/>
        </w:rPr>
      </w:pPr>
      <w:r w:rsidDel="00000000" w:rsidR="00000000" w:rsidRPr="00000000">
        <w:rPr>
          <w:color w:val="202122"/>
          <w:sz w:val="21"/>
          <w:szCs w:val="21"/>
          <w:highlight w:val="white"/>
          <w:u w:val="single"/>
          <w:rtl w:val="0"/>
        </w:rPr>
        <w:t xml:space="preserve">Potential Works Cited </w:t>
      </w:r>
    </w:p>
    <w:p w:rsidR="00000000" w:rsidDel="00000000" w:rsidP="00000000" w:rsidRDefault="00000000" w:rsidRPr="00000000" w14:paraId="00000009">
      <w:pPr>
        <w:jc w:val="left"/>
        <w:rPr>
          <w:color w:val="202122"/>
          <w:sz w:val="21"/>
          <w:szCs w:val="21"/>
          <w:highlight w:val="whit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r w:rsidDel="00000000" w:rsidR="00000000" w:rsidRPr="00000000">
        <w:rPr>
          <w:vertAlign w:val="baseline"/>
          <w:rtl w:val="0"/>
        </w:rPr>
        <w:t xml:space="preserve">Bainbridge, J. (2014). ‘It is a Pokémon world’: The Pokémon franchise and the environment. </w:t>
      </w:r>
      <w:r w:rsidDel="00000000" w:rsidR="00000000" w:rsidRPr="00000000">
        <w:rPr>
          <w:i w:val="1"/>
          <w:vertAlign w:val="baseline"/>
          <w:rtl w:val="0"/>
        </w:rPr>
        <w:t xml:space="preserve">International Journal of Cultural Studies</w:t>
      </w:r>
      <w:r w:rsidDel="00000000" w:rsidR="00000000" w:rsidRPr="00000000">
        <w:rPr>
          <w:vertAlign w:val="baseline"/>
          <w:rtl w:val="0"/>
        </w:rPr>
        <w:t xml:space="preserve">, </w:t>
      </w:r>
      <w:r w:rsidDel="00000000" w:rsidR="00000000" w:rsidRPr="00000000">
        <w:rPr>
          <w:i w:val="1"/>
          <w:vertAlign w:val="baseline"/>
          <w:rtl w:val="0"/>
        </w:rPr>
        <w:t xml:space="preserve">17</w:t>
      </w:r>
      <w:r w:rsidDel="00000000" w:rsidR="00000000" w:rsidRPr="00000000">
        <w:rPr>
          <w:vertAlign w:val="baseline"/>
          <w:rtl w:val="0"/>
        </w:rPr>
        <w:t xml:space="preserve">(4), 399–414. https://doi.org/10.1177/1367877913501240</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r w:rsidDel="00000000" w:rsidR="00000000" w:rsidRPr="00000000">
        <w:rPr>
          <w:vertAlign w:val="baseline"/>
          <w:rtl w:val="0"/>
        </w:rPr>
        <w:t xml:space="preserve">Bogost, I. (2010). </w:t>
      </w:r>
      <w:r w:rsidDel="00000000" w:rsidR="00000000" w:rsidRPr="00000000">
        <w:rPr>
          <w:i w:val="1"/>
          <w:vertAlign w:val="baseline"/>
          <w:rtl w:val="0"/>
        </w:rPr>
        <w:t xml:space="preserve">Persuasive Games: The Expressive Power of Videogames</w:t>
      </w:r>
      <w:r w:rsidDel="00000000" w:rsidR="00000000" w:rsidRPr="00000000">
        <w:rPr>
          <w:vertAlign w:val="baseline"/>
          <w:rtl w:val="0"/>
        </w:rPr>
        <w:t xml:space="preserve">. MIT Press.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r w:rsidDel="00000000" w:rsidR="00000000" w:rsidRPr="00000000">
        <w:rPr>
          <w:vertAlign w:val="baseline"/>
          <w:rtl w:val="0"/>
        </w:rPr>
        <w:t xml:space="preserve">Gordon, A. (1993). </w:t>
      </w:r>
      <w:r w:rsidDel="00000000" w:rsidR="00000000" w:rsidRPr="00000000">
        <w:rPr>
          <w:i w:val="1"/>
          <w:vertAlign w:val="baseline"/>
          <w:rtl w:val="0"/>
        </w:rPr>
        <w:t xml:space="preserve">Postwar Japan as History</w:t>
      </w:r>
      <w:r w:rsidDel="00000000" w:rsidR="00000000" w:rsidRPr="00000000">
        <w:rPr>
          <w:vertAlign w:val="baseline"/>
          <w:rtl w:val="0"/>
        </w:rPr>
        <w:t xml:space="preserve">. University of California Press.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r w:rsidDel="00000000" w:rsidR="00000000" w:rsidRPr="00000000">
        <w:rPr>
          <w:vertAlign w:val="baseline"/>
          <w:rtl w:val="0"/>
        </w:rPr>
        <w:t xml:space="preserve">Gordon, A. (2020). </w:t>
      </w:r>
      <w:r w:rsidDel="00000000" w:rsidR="00000000" w:rsidRPr="00000000">
        <w:rPr>
          <w:i w:val="1"/>
          <w:vertAlign w:val="baseline"/>
          <w:rtl w:val="0"/>
        </w:rPr>
        <w:t xml:space="preserve">A Modern History of Japan: From Tokugawa Times to the Present</w:t>
      </w:r>
      <w:r w:rsidDel="00000000" w:rsidR="00000000" w:rsidRPr="00000000">
        <w:rPr>
          <w:vertAlign w:val="baseline"/>
          <w:rtl w:val="0"/>
        </w:rPr>
        <w:t xml:space="preserve">. Oxford University Press.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r w:rsidDel="00000000" w:rsidR="00000000" w:rsidRPr="00000000">
        <w:rPr>
          <w:vertAlign w:val="baseline"/>
          <w:rtl w:val="0"/>
        </w:rPr>
        <w:t xml:space="preserve">Heng, Y.-K. (2017). Three Faces of Japan’s Soft Power. </w:t>
      </w:r>
      <w:r w:rsidDel="00000000" w:rsidR="00000000" w:rsidRPr="00000000">
        <w:rPr>
          <w:i w:val="1"/>
          <w:vertAlign w:val="baseline"/>
          <w:rtl w:val="0"/>
        </w:rPr>
        <w:t xml:space="preserve">Asian International Studies Review</w:t>
      </w:r>
      <w:r w:rsidDel="00000000" w:rsidR="00000000" w:rsidRPr="00000000">
        <w:rPr>
          <w:vertAlign w:val="baseline"/>
          <w:rtl w:val="0"/>
        </w:rPr>
        <w:t xml:space="preserve">, </w:t>
      </w:r>
      <w:r w:rsidDel="00000000" w:rsidR="00000000" w:rsidRPr="00000000">
        <w:rPr>
          <w:i w:val="1"/>
          <w:vertAlign w:val="baseline"/>
          <w:rtl w:val="0"/>
        </w:rPr>
        <w:t xml:space="preserve">18</w:t>
      </w:r>
      <w:r w:rsidDel="00000000" w:rsidR="00000000" w:rsidRPr="00000000">
        <w:rPr>
          <w:vertAlign w:val="baseline"/>
          <w:rtl w:val="0"/>
        </w:rPr>
        <w:t xml:space="preserve">(1), 171–188. https://doi.org/10.1163/2667078X-01801009</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r w:rsidDel="00000000" w:rsidR="00000000" w:rsidRPr="00000000">
        <w:rPr>
          <w:vertAlign w:val="baseline"/>
          <w:rtl w:val="0"/>
        </w:rPr>
        <w:t xml:space="preserve">Ivy, M. (2000). Revenge and Recapitation in Recessionary Japan. </w:t>
      </w:r>
      <w:r w:rsidDel="00000000" w:rsidR="00000000" w:rsidRPr="00000000">
        <w:rPr>
          <w:i w:val="1"/>
          <w:vertAlign w:val="baseline"/>
          <w:rtl w:val="0"/>
        </w:rPr>
        <w:t xml:space="preserve">South Atlantic Quarterly</w:t>
      </w:r>
      <w:r w:rsidDel="00000000" w:rsidR="00000000" w:rsidRPr="00000000">
        <w:rPr>
          <w:vertAlign w:val="baseline"/>
          <w:rtl w:val="0"/>
        </w:rPr>
        <w:t xml:space="preserve">, </w:t>
      </w:r>
      <w:r w:rsidDel="00000000" w:rsidR="00000000" w:rsidRPr="00000000">
        <w:rPr>
          <w:i w:val="1"/>
          <w:vertAlign w:val="baseline"/>
          <w:rtl w:val="0"/>
        </w:rPr>
        <w:t xml:space="preserve">99</w:t>
      </w:r>
      <w:r w:rsidDel="00000000" w:rsidR="00000000" w:rsidRPr="00000000">
        <w:rPr>
          <w:vertAlign w:val="baseline"/>
          <w:rtl w:val="0"/>
        </w:rPr>
        <w:t xml:space="preserve">(4), 819–840. https://doi.org/10.1215/00382876-99-4-819</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r w:rsidDel="00000000" w:rsidR="00000000" w:rsidRPr="00000000">
        <w:rPr>
          <w:vertAlign w:val="baseline"/>
          <w:rtl w:val="0"/>
        </w:rPr>
        <w:t xml:space="preserve">Kim, H. (2022, March 28). </w:t>
      </w:r>
      <w:r w:rsidDel="00000000" w:rsidR="00000000" w:rsidRPr="00000000">
        <w:rPr>
          <w:i w:val="1"/>
          <w:vertAlign w:val="baseline"/>
          <w:rtl w:val="0"/>
        </w:rPr>
        <w:t xml:space="preserve">Pokémon Legends: Arceus — a Step Forward and a Step Back - Uppercut</w:t>
      </w:r>
      <w:r w:rsidDel="00000000" w:rsidR="00000000" w:rsidRPr="00000000">
        <w:rPr>
          <w:vertAlign w:val="baseline"/>
          <w:rtl w:val="0"/>
        </w:rPr>
        <w:t xml:space="preserve">.</w:t>
      </w:r>
      <w:r w:rsidDel="00000000" w:rsidR="00000000" w:rsidRPr="00000000">
        <w:rPr>
          <w:rtl w:val="0"/>
        </w:rPr>
        <w:t xml:space="preserve"> </w:t>
      </w:r>
      <w:r w:rsidDel="00000000" w:rsidR="00000000" w:rsidRPr="00000000">
        <w:rPr>
          <w:vertAlign w:val="baseline"/>
          <w:rtl w:val="0"/>
        </w:rPr>
        <w:t xml:space="preserve">https://uppercutcrit.com/pokemon-legends-arceus-a-step-forward-and-a-step-back/</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r w:rsidDel="00000000" w:rsidR="00000000" w:rsidRPr="00000000">
        <w:rPr>
          <w:vertAlign w:val="baseline"/>
          <w:rtl w:val="0"/>
        </w:rPr>
        <w:t xml:space="preserve">Kunnie, J., &amp; Goduka, N. I. (2006). </w:t>
      </w:r>
      <w:r w:rsidDel="00000000" w:rsidR="00000000" w:rsidRPr="00000000">
        <w:rPr>
          <w:i w:val="1"/>
          <w:vertAlign w:val="baseline"/>
          <w:rtl w:val="0"/>
        </w:rPr>
        <w:t xml:space="preserve">Indigenous Peoples’ Wisdom and Power: Affirming Our Knowledge Through Narratives</w:t>
      </w:r>
      <w:r w:rsidDel="00000000" w:rsidR="00000000" w:rsidRPr="00000000">
        <w:rPr>
          <w:vertAlign w:val="baseline"/>
          <w:rtl w:val="0"/>
        </w:rPr>
        <w:t xml:space="preserve">. Ashgate Publishing, Ltd.</w:t>
      </w:r>
      <w:r w:rsidDel="00000000" w:rsidR="00000000" w:rsidRPr="00000000">
        <w:rPr>
          <w:rtl w:val="0"/>
        </w:rPr>
      </w:r>
    </w:p>
    <w:p w:rsidR="00000000" w:rsidDel="00000000" w:rsidP="00000000" w:rsidRDefault="00000000" w:rsidRPr="00000000" w14:paraId="00000013">
      <w:pPr>
        <w:widowControl w:val="0"/>
        <w:spacing w:line="480" w:lineRule="auto"/>
        <w:ind w:left="720"/>
        <w:rPr>
          <w:color w:val="202122"/>
          <w:sz w:val="21"/>
          <w:szCs w:val="21"/>
          <w:highlight w:val="white"/>
        </w:rPr>
      </w:pPr>
      <w:r w:rsidDel="00000000" w:rsidR="00000000" w:rsidRPr="00000000">
        <w:rPr>
          <w:color w:val="202122"/>
          <w:sz w:val="21"/>
          <w:szCs w:val="21"/>
          <w:highlight w:val="white"/>
          <w:rtl w:val="0"/>
        </w:rPr>
        <w:t xml:space="preserve">Lewallen, A. </w:t>
      </w:r>
      <w:r w:rsidDel="00000000" w:rsidR="00000000" w:rsidRPr="00000000">
        <w:rPr>
          <w:i w:val="1"/>
          <w:rtl w:val="0"/>
        </w:rPr>
        <w:t xml:space="preserve">Indigenous at last! Ainu Grassroots Organizing and the Indigenous Peoples Summit in Ainu Mosir</w:t>
      </w:r>
      <w:r w:rsidDel="00000000" w:rsidR="00000000" w:rsidRPr="00000000">
        <w:rPr>
          <w:rtl w:val="0"/>
        </w:rPr>
        <w:t xml:space="preserve">. The Asia-Pacific Journal: Japan Focus.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02122"/>
          <w:sz w:val="21"/>
          <w:szCs w:val="21"/>
          <w:highlight w:val="white"/>
        </w:rPr>
      </w:pPr>
      <w:r w:rsidDel="00000000" w:rsidR="00000000" w:rsidRPr="00000000">
        <w:rPr>
          <w:vertAlign w:val="baseline"/>
          <w:rtl w:val="0"/>
        </w:rPr>
        <w:t xml:space="preserve">Mishima, K. (1999). The Ghost of Ultra-Nationalism Haunts Japan. </w:t>
      </w:r>
      <w:r w:rsidDel="00000000" w:rsidR="00000000" w:rsidRPr="00000000">
        <w:rPr>
          <w:i w:val="1"/>
          <w:vertAlign w:val="baseline"/>
          <w:rtl w:val="0"/>
        </w:rPr>
        <w:t xml:space="preserve">SAIS Review</w:t>
      </w:r>
      <w:r w:rsidDel="00000000" w:rsidR="00000000" w:rsidRPr="00000000">
        <w:rPr>
          <w:vertAlign w:val="baseline"/>
          <w:rtl w:val="0"/>
        </w:rPr>
        <w:t xml:space="preserve">, </w:t>
      </w:r>
      <w:r w:rsidDel="00000000" w:rsidR="00000000" w:rsidRPr="00000000">
        <w:rPr>
          <w:i w:val="1"/>
          <w:vertAlign w:val="baseline"/>
          <w:rtl w:val="0"/>
        </w:rPr>
        <w:t xml:space="preserve">19</w:t>
      </w:r>
      <w:r w:rsidDel="00000000" w:rsidR="00000000" w:rsidRPr="00000000">
        <w:rPr>
          <w:vertAlign w:val="baseline"/>
          <w:rtl w:val="0"/>
        </w:rPr>
        <w:t xml:space="preserve">(2), 251–255. https://doi.org/10.1353/sais.1999.0042</w:t>
      </w: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t xml:space="preserve">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rPr/>
    </w:pPr>
    <w:r w:rsidDel="00000000" w:rsidR="00000000" w:rsidRPr="00000000">
      <w:rPr>
        <w:rtl w:val="0"/>
      </w:rPr>
      <w:t xml:space="preserve">Vee Kennedy</w:t>
    </w:r>
  </w:p>
  <w:p w:rsidR="00000000" w:rsidDel="00000000" w:rsidP="00000000" w:rsidRDefault="00000000" w:rsidRPr="00000000" w14:paraId="00000018">
    <w:pPr>
      <w:rPr/>
    </w:pPr>
    <w:r w:rsidDel="00000000" w:rsidR="00000000" w:rsidRPr="00000000">
      <w:rPr>
        <w:rtl w:val="0"/>
      </w:rPr>
      <w:t xml:space="preserve">9/26/2022</w:t>
    </w:r>
  </w:p>
  <w:p w:rsidR="00000000" w:rsidDel="00000000" w:rsidP="00000000" w:rsidRDefault="00000000" w:rsidRPr="00000000" w14:paraId="00000019">
    <w:pPr>
      <w:rPr/>
    </w:pPr>
    <w:r w:rsidDel="00000000" w:rsidR="00000000" w:rsidRPr="00000000">
      <w:rPr>
        <w:rtl w:val="0"/>
      </w:rPr>
      <w:t xml:space="preserve">ENG 6800</w:t>
    </w:r>
  </w:p>
  <w:p w:rsidR="00000000" w:rsidDel="00000000" w:rsidP="00000000" w:rsidRDefault="00000000" w:rsidRPr="00000000" w14:paraId="0000001A">
    <w:pPr>
      <w:rPr/>
    </w:pPr>
    <w:r w:rsidDel="00000000" w:rsidR="00000000" w:rsidRPr="00000000">
      <w:rPr>
        <w:rtl w:val="0"/>
      </w:rPr>
      <w:t xml:space="preserve">Salter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