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Discussion Questions: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Chapter 1- </w:t>
      </w:r>
    </w:p>
    <w:p w:rsidR="00000000" w:rsidDel="00000000" w:rsidP="00000000" w:rsidRDefault="00000000" w:rsidRPr="00000000" w14:paraId="00000004">
      <w:pPr>
        <w:rPr/>
      </w:pPr>
      <w:r w:rsidDel="00000000" w:rsidR="00000000" w:rsidRPr="00000000">
        <w:rPr>
          <w:rtl w:val="0"/>
        </w:rPr>
        <w:t xml:space="preserve">“Who does the work (and who is pushed out)? Who benefits (and who is neglected or harmed)? Whose priorities get turned into products (and whose are overlooked)?” (D’Ignazio &amp; Klein 47) Consider these questions in the context of your work and budding research projects here in T&amp;T. Who is doing the work (who are you, in terms of your subject positionalities, as a researcher)? Who benefits from your research (and who is neglected or harmed? In terms of your research projects, whose priorities get turned into products or are overlooked?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Chapter 2 - </w:t>
      </w:r>
    </w:p>
    <w:p w:rsidR="00000000" w:rsidDel="00000000" w:rsidP="00000000" w:rsidRDefault="00000000" w:rsidRPr="00000000" w14:paraId="00000007">
      <w:pPr>
        <w:rPr/>
      </w:pPr>
      <w:r w:rsidDel="00000000" w:rsidR="00000000" w:rsidRPr="00000000">
        <w:rPr>
          <w:rtl w:val="0"/>
        </w:rPr>
        <w:t xml:space="preserve">“Who is it, exactly, that needs to be shown the harms of such differentials of power? And what kind of proof do they require to believe that oppression is real?” (D’Ignazio &amp; Klein 57) – Consider these questions in the context of your budding research projects for T&amp;T. Are there any differentials of power that need to be addressed or disclosed within your work, and what is the ‘proof’ of those differentials? To whom does it matter?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Chapter 3- </w:t>
      </w:r>
    </w:p>
    <w:p w:rsidR="00000000" w:rsidDel="00000000" w:rsidP="00000000" w:rsidRDefault="00000000" w:rsidRPr="00000000" w14:paraId="0000000A">
      <w:pPr>
        <w:rPr/>
      </w:pPr>
      <w:r w:rsidDel="00000000" w:rsidR="00000000" w:rsidRPr="00000000">
        <w:rPr>
          <w:rtl w:val="0"/>
        </w:rPr>
        <w:t xml:space="preserve">“Rather than making universal rules and ratios (think: data-ink) that exclude some aspects of the human experience in favor of other, our time is better spent working toward a more holistic and more inclusive ideal. All design fields, including visualization and data communications, are fields of possibility.” (D’Ignazio &amp; Klein 96). What do you think are appropriate ratios for your own specific work or a current given project between traditionally perceived (and perhaps patriarchal) notions rationality vs. emotional considerations?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Chapter 4- </w:t>
      </w:r>
    </w:p>
    <w:p w:rsidR="00000000" w:rsidDel="00000000" w:rsidP="00000000" w:rsidRDefault="00000000" w:rsidRPr="00000000" w14:paraId="0000000D">
      <w:pPr>
        <w:rPr/>
      </w:pPr>
      <w:r w:rsidDel="00000000" w:rsidR="00000000" w:rsidRPr="00000000">
        <w:rPr>
          <w:rtl w:val="0"/>
        </w:rPr>
        <w:t xml:space="preserve">“Counting and classification can be powerful parts of the process of creating knowledge. But they’re also tools of power in themselves. Historically, counting and classification have been used to dominate, discipline, and exclude,” (D’Ignazio &amp; Klein, 122-123) Take a look at your own project or some of your intended research work here in T&amp;T. Do you see any places where your intended coding procedures where you are counting or classifying data potentially “dominate, discipline, or exclude”?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Vee's Reading Response Post </w:t>
      </w:r>
    </w:p>
    <w:p w:rsidR="00000000" w:rsidDel="00000000" w:rsidP="00000000" w:rsidRDefault="00000000" w:rsidRPr="00000000" w14:paraId="00000013">
      <w:pPr>
        <w:shd w:fill="ffffff" w:val="clear"/>
        <w:spacing w:after="180" w:before="180" w:lineRule="auto"/>
        <w:rPr>
          <w:color w:val="2d3b45"/>
          <w:sz w:val="24"/>
          <w:szCs w:val="24"/>
        </w:rPr>
      </w:pPr>
      <w:r w:rsidDel="00000000" w:rsidR="00000000" w:rsidRPr="00000000">
        <w:rPr>
          <w:color w:val="2d3b45"/>
          <w:sz w:val="24"/>
          <w:szCs w:val="24"/>
          <w:rtl w:val="0"/>
        </w:rPr>
        <w:t xml:space="preserve">I posted my discussion questions for this week above but wanted to keep my own response to the four chapters and introduction we were assigned for this coming week a bit separate. As you may see in my discussion leader post, I've asked us this week to spend a lot of time asking questions that D'Ignazio and Klein ask us to do over the course of the first four chapters in the context of our own work and I'd like to think of that in the broader context of the book. Early on in class when this book was mentioned, there was some ire drawn to the fact that this book contains a great deal of discussions of power hierarchies and disparities, and it also includes a massive amount of acknowledgements to other scholars of various races, ethnicities, and other subject positionalities, but it ultimately comes credited to two white woman academics and perhaps at times feels like the authors feel the need to apologize for being, well, white women. I vaguely recall Bowden at one point making some question of if it would've been perhaps better for these authors to bring in someone of a different background as an author on the project to both enhance the perspective provided and to, in effect, ensure that the work exemplified the logic that it advocates for. </w:t>
      </w:r>
    </w:p>
    <w:p w:rsidR="00000000" w:rsidDel="00000000" w:rsidP="00000000" w:rsidRDefault="00000000" w:rsidRPr="00000000" w14:paraId="00000014">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I've also been thinking of this in the context of one of my own projects that started in Intro last year and is now continuing McDaniel's Python class, regarding indigenous representation in a particular Japanese video game. I am, to make an American politics joke, about as indigenous as Elizabeth Warren -- not in the slightest. I might be a bit according to something like 23AndMe, but I personally don't hold this as an identity let alone bring it into my research (especially seeing as unlike my Polish, Scottish, or Jewish heritages, I never knew about it until I took a DNA test when I was in my 20s, whereas each of the heritages I mention have been a huge part of my life and my experiences) and, furthermore, many indigenous groups do not use blood quantum as any sort of predictor for who 'counts' as part of indigenous groups today. It's been quite a conversation in Canada, I believe, that the Canadian Government uses blood quantum to decide who does and does not get tribal recognition in lieu of a person's actual circumstances, when in reality, many cultural groups have a much different belief of who precisely should 'count.' I mention this as part of my work this week to frame some of this difficulties. For a quick read up on the issue, take a look at this article from the Atlantic titled </w:t>
      </w:r>
      <w:r w:rsidDel="00000000" w:rsidR="00000000" w:rsidRPr="00000000">
        <w:fldChar w:fldCharType="begin"/>
        <w:instrText xml:space="preserve"> HYPERLINK "https://www.theatlantic.com/family/archive/2023/06/blood-quantum-laws-native-american-tribal-communities/674461/" </w:instrText>
        <w:fldChar w:fldCharType="separate"/>
      </w:r>
      <w:r w:rsidDel="00000000" w:rsidR="00000000" w:rsidRPr="00000000">
        <w:rPr>
          <w:color w:val="1155cc"/>
          <w:sz w:val="24"/>
          <w:szCs w:val="24"/>
          <w:u w:val="single"/>
          <w:rtl w:val="0"/>
        </w:rPr>
        <w:t xml:space="preserve">Blood-Quantum Laws are Splintering my Tribe</w:t>
      </w:r>
    </w:p>
    <w:p w:rsidR="00000000" w:rsidDel="00000000" w:rsidP="00000000" w:rsidRDefault="00000000" w:rsidRPr="00000000" w14:paraId="00000015">
      <w:pPr>
        <w:shd w:fill="ffffff" w:val="clear"/>
        <w:spacing w:after="18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 by Leah Meyers, a member of the Jamestown S’Klallam Tribe who writes about her struggle with choosing a partner to marry in light of current blood quantum laws. Although Meyers is herself a tribal member and culturally consider herself Jamestown S'Klallam, if she were to marry someone, even someone from her same community who's blood quantum doesn't meet a specific arbitrary number that was decided by white settlers a long time ago, her children would not be eligible for formal tribal membership, even if they were raised within the traditions and culture of the tribe. </w:t>
      </w:r>
    </w:p>
    <w:p w:rsidR="00000000" w:rsidDel="00000000" w:rsidP="00000000" w:rsidRDefault="00000000" w:rsidRPr="00000000" w14:paraId="00000017">
      <w:pPr>
        <w:shd w:fill="ffffff" w:val="clear"/>
        <w:spacing w:after="180" w:before="180" w:lineRule="auto"/>
        <w:rPr>
          <w:color w:val="2d3b45"/>
          <w:sz w:val="24"/>
          <w:szCs w:val="24"/>
        </w:rPr>
      </w:pPr>
      <w:r w:rsidDel="00000000" w:rsidR="00000000" w:rsidRPr="00000000">
        <w:rPr>
          <w:color w:val="2d3b45"/>
          <w:sz w:val="24"/>
          <w:szCs w:val="24"/>
          <w:rtl w:val="0"/>
        </w:rPr>
        <w:t xml:space="preserve">Now, back to my context -- I am not any variety of indigenous by any stretch of the imagination, and yet, I have found myself working on a research project pertaining to the portrayal and representation of an indigenous people of Japan -- I'm also not Japanese, but I've spent some of my life living in Japan -- in a video game. I have often asked myself why, or if this is work that I should be doing. Realistically, I know that my background and scholarship have led me to a place where I can write about something in English for a western audience that is virtually unknown and yet remarkably valuable. Inside of Japan, the position of its indigenous peoples is already quite unknown, but outside of Japan, non-Japanese people tend to think of Japan erroneously as being an ethnically homogenous country, when in reality there are quite a number of racial, ethnic, and linguistic minorities in Japan that are difficult to capture in terms of statistics because the Japanese government maintains a vested interest in portraying the supposed homogeneity of Japan and quite purposefully collects census data that obscures these details. A great deal of that non-homogeneity stems directly from unfortunate historical events, which, again opens another interesting can of worms, because who am I as a white, American academic 77 years later to offer any sort of criticism on the modern Japanese government or any unfortunate historical events or that happened in a place where my nation dropped two atomic bombs? Like, yeah, talk about unfortunate historical events. -- So, doing this research, and doing it ethically -- how? That's the thing that I keep coming back to and have discussed with Salter several times and was once again reminded of this week. </w:t>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