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widowControl w:val="0"/>
        <w:spacing w:after="0" w:before="0" w:line="240" w:lineRule="auto"/>
        <w:ind w:left="0" w:firstLine="0"/>
        <w:rPr>
          <w:sz w:val="21"/>
          <w:szCs w:val="21"/>
        </w:rPr>
      </w:pPr>
      <w:r w:rsidDel="00000000" w:rsidR="00000000" w:rsidRPr="00000000">
        <w:rPr>
          <w:sz w:val="21"/>
          <w:szCs w:val="21"/>
          <w:rtl w:val="0"/>
        </w:rPr>
        <w:t xml:space="preserve">Weekly Reading Responses</w:t>
      </w:r>
    </w:p>
    <w:p w:rsidR="00000000" w:rsidDel="00000000" w:rsidP="00000000" w:rsidRDefault="00000000" w:rsidRPr="00000000" w14:paraId="00000002">
      <w:pPr>
        <w:widowControl w:val="0"/>
        <w:spacing w:after="0" w:before="0" w:line="240" w:lineRule="auto"/>
        <w:rPr>
          <w:sz w:val="21"/>
          <w:szCs w:val="21"/>
        </w:rPr>
      </w:pPr>
      <w:r w:rsidDel="00000000" w:rsidR="00000000" w:rsidRPr="00000000">
        <w:rPr>
          <w:rtl w:val="0"/>
        </w:rPr>
      </w:r>
    </w:p>
    <w:p w:rsidR="00000000" w:rsidDel="00000000" w:rsidP="00000000" w:rsidRDefault="00000000" w:rsidRPr="00000000" w14:paraId="00000003">
      <w:pPr>
        <w:widowControl w:val="0"/>
        <w:spacing w:after="0" w:before="0" w:line="240" w:lineRule="auto"/>
        <w:rPr>
          <w:sz w:val="21"/>
          <w:szCs w:val="21"/>
        </w:rPr>
      </w:pPr>
      <w:r w:rsidDel="00000000" w:rsidR="00000000" w:rsidRPr="00000000">
        <w:rPr>
          <w:sz w:val="21"/>
          <w:szCs w:val="21"/>
          <w:rtl w:val="0"/>
        </w:rPr>
        <w:t xml:space="preserve">Responses to readings and discussions should be 200-250 words long and should not simply summarize but demonstrate a deeper engagement with specific ideas in the readings or conversations, focusing on key passages or elements, relating them to your views or experiences, discussing them through examples, and/or evaluating their arguments. Because responses should facilitate discussion, you can reply to another person’s post as your response; unless they are replies, responses should have specific subject lines. Use shorter paragraphs as well as lists and headings where appropriate. A reply to a classmate’s post should be substantive rather than something like "I agree/disagree” or “I found this interesting.” Only ten of these posts will count toward your grade.</w:t>
      </w:r>
    </w:p>
    <w:p w:rsidR="00000000" w:rsidDel="00000000" w:rsidP="00000000" w:rsidRDefault="00000000" w:rsidRPr="00000000" w14:paraId="00000004">
      <w:pPr>
        <w:widowControl w:val="0"/>
        <w:spacing w:after="0" w:before="0" w:line="240" w:lineRule="auto"/>
        <w:rPr/>
        <w:sectPr>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5">
      <w:pPr>
        <w:rPr>
          <w:shd w:fill="auto" w:val="clear"/>
        </w:rPr>
      </w:pPr>
      <w:r w:rsidDel="00000000" w:rsidR="00000000" w:rsidRPr="00000000">
        <w:rPr>
          <w:shd w:fill="auto" w:val="clear"/>
          <w:rtl w:val="0"/>
        </w:rPr>
        <w:t xml:space="preserve">Week One/Two: Khattacharya, Kakali. Fundamentals of Qualitative Research: A Practical Guide. Routledge, 2017.</w:t>
      </w:r>
    </w:p>
    <w:p w:rsidR="00000000" w:rsidDel="00000000" w:rsidP="00000000" w:rsidRDefault="00000000" w:rsidRPr="00000000" w14:paraId="00000006">
      <w:pPr>
        <w:rPr>
          <w:shd w:fill="auto" w:val="clear"/>
        </w:rPr>
      </w:pPr>
      <w:r w:rsidDel="00000000" w:rsidR="00000000" w:rsidRPr="00000000">
        <w:rPr>
          <w:shd w:fill="auto" w:val="clear"/>
          <w:rtl w:val="0"/>
        </w:rPr>
        <w:t xml:space="preserve"> - Chapters 1 &amp; 2 </w:t>
      </w:r>
    </w:p>
    <w:p w:rsidR="00000000" w:rsidDel="00000000" w:rsidP="00000000" w:rsidRDefault="00000000" w:rsidRPr="00000000" w14:paraId="00000007">
      <w:pPr>
        <w:rPr>
          <w:shd w:fill="auto" w:val="clear"/>
        </w:rPr>
      </w:pPr>
      <w:r w:rsidDel="00000000" w:rsidR="00000000" w:rsidRPr="00000000">
        <w:rPr>
          <w:shd w:fill="auto" w:val="clear"/>
          <w:rtl w:val="0"/>
        </w:rPr>
        <w:t xml:space="preserve">Burdick, Anne et al, Digital_Humanities Part 1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 massive header that begins Burdick et al’s Digital_Humanities reads “Digital Humanities is born of the encounter between traditional humanities and computational methods.” This reminded me of something that a mentor of mine said long ago in my Rhet/Comp Research Methods class that I took as part of my MA study, specifically when asked how Rhetoric &amp; Composition remains distinct as a field of academic inquiry in the very specific context that composition programs arose in Higher Ed in the United States. The response was that Rhet/Comp is defined by our concepts of epistemology and ontology – that we are made ‘different’ by our chosen methodologies, which are often primarily qualitative or mixed in nature. With this in mind, the idea that DH is characterized by its methods isn’t foreign to me, although I am quite intrigued by the notion that comes up a bit later that humanist inquiry and computational methods are at their core perhaps “at odds” with one another and the hints towards the ways that these computational methods have been modified and enhanced by humanist approaches (16-17). Further discussion is there about how we process and analyze as digital humanists, although I suppose my perspective is somewhat jaded as given that the entire duration of my lifetime has been in what this chapter describes as the ongoing history of the transition into digital and digitally-enhanced research.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I also particularly appreciated a bit further on in this chapter when it was argued that Digital Humanities “may see the emergence of polymaths who can ‘do it all’: who can research, write, shoot, edit, code, model, design, network, and dialogue with users,” (15), as I know that many of us in this class (and T&amp;T as a whole) are also enjoying coursework in Humanist Data Analysis where we are quite literally learning how to code, many of us, with the hopes of using Python as a technology to amplify abilities to conduct qualitative research and analyze large corpi of text-based data.</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w:t>
      </w:r>
    </w:p>
    <w:p w:rsidR="00000000" w:rsidDel="00000000" w:rsidP="00000000" w:rsidRDefault="00000000" w:rsidRPr="00000000" w14:paraId="0000000F">
      <w:pPr>
        <w:shd w:fill="ffffff" w:val="clear"/>
        <w:spacing w:after="180" w:before="180" w:lineRule="auto"/>
        <w:rPr>
          <w:b w:val="1"/>
          <w:color w:val="2d3b45"/>
          <w:sz w:val="24"/>
          <w:szCs w:val="24"/>
        </w:rPr>
      </w:pPr>
      <w:r w:rsidDel="00000000" w:rsidR="00000000" w:rsidRPr="00000000">
        <w:rPr>
          <w:b w:val="1"/>
          <w:color w:val="2d3b45"/>
          <w:sz w:val="24"/>
          <w:szCs w:val="24"/>
          <w:rtl w:val="0"/>
        </w:rPr>
        <w:t xml:space="preserve">Discussion Leader Post - Digital_Humanities</w:t>
      </w:r>
    </w:p>
    <w:p w:rsidR="00000000" w:rsidDel="00000000" w:rsidP="00000000" w:rsidRDefault="00000000" w:rsidRPr="00000000" w14:paraId="00000010">
      <w:pPr>
        <w:shd w:fill="ffffff" w:val="clear"/>
        <w:spacing w:after="180" w:before="180" w:lineRule="auto"/>
        <w:rPr>
          <w:color w:val="2d3b45"/>
          <w:sz w:val="24"/>
          <w:szCs w:val="24"/>
        </w:rPr>
      </w:pPr>
      <w:r w:rsidDel="00000000" w:rsidR="00000000" w:rsidRPr="00000000">
        <w:rPr>
          <w:color w:val="2d3b45"/>
          <w:sz w:val="24"/>
          <w:szCs w:val="24"/>
          <w:rtl w:val="0"/>
        </w:rPr>
        <w:t xml:space="preserve">In Section One of the book Digital_Humanities, the authors, Lunenfeld, Drucker, Schnapp, Burdick, and Presner present the four approaches to work within the digital humanities: curation, analysis, editing, and modeling. Curation (the selection and organization of materials), Analysis (the processing of text or data), editing (the parsing of cultural records, questions regarding authenticity, origin, transmission, or production), and lastly, modeling (the information structures and design) (Lunenfeld et al. section one). Humanities has a rich academic history, dating back to the 16</w:t>
      </w:r>
      <w:r w:rsidDel="00000000" w:rsidR="00000000" w:rsidRPr="00000000">
        <w:rPr>
          <w:color w:val="2d3b45"/>
          <w:sz w:val="18"/>
          <w:szCs w:val="18"/>
          <w:rtl w:val="0"/>
        </w:rPr>
        <w:t xml:space="preserve">th</w:t>
      </w:r>
      <w:r w:rsidDel="00000000" w:rsidR="00000000" w:rsidRPr="00000000">
        <w:rPr>
          <w:color w:val="2d3b45"/>
          <w:sz w:val="24"/>
          <w:szCs w:val="24"/>
          <w:rtl w:val="0"/>
        </w:rPr>
        <w:t xml:space="preserve"> century with the rise of academies; before the advent of academic societies in the 18</w:t>
      </w:r>
      <w:r w:rsidDel="00000000" w:rsidR="00000000" w:rsidRPr="00000000">
        <w:rPr>
          <w:color w:val="2d3b45"/>
          <w:sz w:val="18"/>
          <w:szCs w:val="18"/>
          <w:rtl w:val="0"/>
        </w:rPr>
        <w:t xml:space="preserve">th</w:t>
      </w:r>
      <w:r w:rsidDel="00000000" w:rsidR="00000000" w:rsidRPr="00000000">
        <w:rPr>
          <w:color w:val="2d3b45"/>
          <w:sz w:val="24"/>
          <w:szCs w:val="24"/>
          <w:rtl w:val="0"/>
        </w:rPr>
        <w:t xml:space="preserve"> and 19</w:t>
      </w:r>
      <w:r w:rsidDel="00000000" w:rsidR="00000000" w:rsidRPr="00000000">
        <w:rPr>
          <w:color w:val="2d3b45"/>
          <w:sz w:val="18"/>
          <w:szCs w:val="18"/>
          <w:rtl w:val="0"/>
        </w:rPr>
        <w:t xml:space="preserve">th</w:t>
      </w:r>
      <w:r w:rsidDel="00000000" w:rsidR="00000000" w:rsidRPr="00000000">
        <w:rPr>
          <w:color w:val="2d3b45"/>
          <w:sz w:val="24"/>
          <w:szCs w:val="24"/>
          <w:rtl w:val="0"/>
        </w:rPr>
        <w:t xml:space="preserve"> centuries (6). Digital humanities as a discipline didn’t emerge until the advent of modern computing became accessible in the 1980’s. The field began to make archives available to wider audiences but has since evolved to include new concepts such as mass media art, corporate platforms, and entertainment (9). The proliferation of modes of communication and vast array of media platforms in the 21</w:t>
      </w:r>
      <w:r w:rsidDel="00000000" w:rsidR="00000000" w:rsidRPr="00000000">
        <w:rPr>
          <w:color w:val="2d3b45"/>
          <w:sz w:val="18"/>
          <w:szCs w:val="18"/>
          <w:rtl w:val="0"/>
        </w:rPr>
        <w:t xml:space="preserve">st</w:t>
      </w:r>
      <w:r w:rsidDel="00000000" w:rsidR="00000000" w:rsidRPr="00000000">
        <w:rPr>
          <w:color w:val="2d3b45"/>
          <w:sz w:val="24"/>
          <w:szCs w:val="24"/>
          <w:rtl w:val="0"/>
        </w:rPr>
        <w:t xml:space="preserve"> century has caused the discipline to expand in previously unimaginable ways. Digital humanities research has grown as information is disseminated through personal broadcasting such as YouTube, social media, podcasts, creating the need for 21</w:t>
      </w:r>
      <w:r w:rsidDel="00000000" w:rsidR="00000000" w:rsidRPr="00000000">
        <w:rPr>
          <w:color w:val="2d3b45"/>
          <w:sz w:val="18"/>
          <w:szCs w:val="18"/>
          <w:rtl w:val="0"/>
        </w:rPr>
        <w:t xml:space="preserve">st</w:t>
      </w:r>
      <w:r w:rsidDel="00000000" w:rsidR="00000000" w:rsidRPr="00000000">
        <w:rPr>
          <w:color w:val="2d3b45"/>
          <w:sz w:val="24"/>
          <w:szCs w:val="24"/>
          <w:rtl w:val="0"/>
        </w:rPr>
        <w:t xml:space="preserve"> century archives to catalog society’s digital footprint (11).  </w:t>
      </w:r>
    </w:p>
    <w:p w:rsidR="00000000" w:rsidDel="00000000" w:rsidP="00000000" w:rsidRDefault="00000000" w:rsidRPr="00000000" w14:paraId="00000011">
      <w:pPr>
        <w:shd w:fill="ffffff" w:val="clear"/>
        <w:spacing w:after="180" w:before="180" w:lineRule="auto"/>
        <w:rPr>
          <w:color w:val="2d3b45"/>
          <w:sz w:val="24"/>
          <w:szCs w:val="24"/>
        </w:rPr>
      </w:pPr>
      <w:r w:rsidDel="00000000" w:rsidR="00000000" w:rsidRPr="00000000">
        <w:rPr>
          <w:color w:val="2d3b45"/>
          <w:sz w:val="24"/>
          <w:szCs w:val="24"/>
          <w:rtl w:val="0"/>
        </w:rPr>
        <w:t xml:space="preserve">The ever-changing landscape of digital humanities work is not without its own set of challenges. Digital humanists are not constrained to traditional research methods and ivory tower academics as humanists of centuries past. Creativity is essential for digital humanists to be at the forefront of research and competitive in the job market. The authors of the text posit that the high demand for expanded skill sets, stating that digital humanists must also develop technical and content creation skills, could harm scholarship (15). The proliferation of neoliberalism in academia may lead to education workers being coerced into acquiring additional technical skills and taking on developer or content-creator duties to obtain positions or earn tenure without additional compensation. Additionally, academic culture has a fear of failure. Researcher academics feel that failed research projects won’t benefit their field or further their progress towards tenure when in fact failure is one expected outcome of the scientific method (21). Another concern of the authors is that 21st-century digital tools and platforms do not solve problems but present workarounds. It’s my belief that as burgeoning digital humanists, it will be our duty to the discipline to find solutions.  </w:t>
      </w:r>
    </w:p>
    <w:p w:rsidR="00000000" w:rsidDel="00000000" w:rsidP="00000000" w:rsidRDefault="00000000" w:rsidRPr="00000000" w14:paraId="00000012">
      <w:pPr>
        <w:shd w:fill="ffffff" w:val="clear"/>
        <w:rPr>
          <w:color w:val="2d3b45"/>
          <w:sz w:val="24"/>
          <w:szCs w:val="24"/>
        </w:rPr>
      </w:pPr>
      <w:r w:rsidDel="00000000" w:rsidR="00000000" w:rsidRPr="00000000">
        <w:rPr>
          <w:color w:val="2d3b45"/>
          <w:sz w:val="24"/>
          <w:szCs w:val="24"/>
          <w:rtl w:val="0"/>
        </w:rPr>
        <w:t xml:space="preserve">Working in academics, I've found the author's summarization of the challenges within the field and the academy as a whole. For example, Valencia College requires online professors to take a 15-hour Digital Professor professional development course for no additional pay, regardless of their experience with online teaching or Canvas. In my work as a librarian, I not only assist students with scholarly research, database management, and other traditional duties, but I also do some amount of web development, create multimedia projects for the classrooms and student development, and constantly find ways to innovate to stay on top of trends in technology. This is done on my regular work with no acknowledgment or compensation. Regarding the fear of failure, I disagree that failed hypotheses are frowned upon in publications. Valencia College requires tenure candidates to assemble a portfolio of three professional projects. My main project involved developing a less-than-successful online training module for students on media literacy based on the Center for Media Literacy's core competencies. As I completed my portfolio, I was constantly assured that a failed research project contributed just as much to the discipline as a successful one because it's just as important to know what doesn't work as what does. Of course, this is anecdotal and based on my experience at a state college, not a major research university. Still, it may help reassure anyone who has a fear of failure regarding their research.</w:t>
      </w:r>
    </w:p>
    <w:p w:rsidR="00000000" w:rsidDel="00000000" w:rsidP="00000000" w:rsidRDefault="00000000" w:rsidRPr="00000000" w14:paraId="00000013">
      <w:pPr>
        <w:shd w:fill="ffffff" w:val="clear"/>
        <w:spacing w:before="180" w:lineRule="auto"/>
        <w:rPr>
          <w:color w:val="2d3b45"/>
          <w:sz w:val="24"/>
          <w:szCs w:val="24"/>
        </w:rPr>
      </w:pPr>
      <w:r w:rsidDel="00000000" w:rsidR="00000000" w:rsidRPr="00000000">
        <w:rPr>
          <w:color w:val="2d3b45"/>
          <w:sz w:val="24"/>
          <w:szCs w:val="24"/>
          <w:rtl w:val="0"/>
        </w:rPr>
        <w:t xml:space="preserve">Lunenfeld, Peter et al. </w:t>
      </w:r>
      <w:r w:rsidDel="00000000" w:rsidR="00000000" w:rsidRPr="00000000">
        <w:rPr>
          <w:i w:val="1"/>
          <w:color w:val="2d3b45"/>
          <w:sz w:val="24"/>
          <w:szCs w:val="24"/>
          <w:rtl w:val="0"/>
        </w:rPr>
        <w:t xml:space="preserve">Digital_Humanities</w:t>
      </w:r>
      <w:r w:rsidDel="00000000" w:rsidR="00000000" w:rsidRPr="00000000">
        <w:rPr>
          <w:color w:val="2d3b45"/>
          <w:sz w:val="24"/>
          <w:szCs w:val="24"/>
          <w:rtl w:val="0"/>
        </w:rPr>
        <w:t xml:space="preserve">. Cambridge: The MIT Press, 2012. Print.</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shd w:fill="ffffff" w:val="clear"/>
        <w:spacing w:after="180" w:before="180" w:lineRule="auto"/>
        <w:rPr>
          <w:b w:val="1"/>
          <w:color w:val="2d3b45"/>
          <w:sz w:val="24"/>
          <w:szCs w:val="24"/>
        </w:rPr>
      </w:pPr>
      <w:r w:rsidDel="00000000" w:rsidR="00000000" w:rsidRPr="00000000">
        <w:rPr>
          <w:b w:val="1"/>
          <w:color w:val="2d3b45"/>
          <w:sz w:val="24"/>
          <w:szCs w:val="24"/>
          <w:rtl w:val="0"/>
        </w:rPr>
        <w:t xml:space="preserve">Discussion Leader Post - Fundamentals of Digital Humanities</w:t>
      </w:r>
    </w:p>
    <w:p w:rsidR="00000000" w:rsidDel="00000000" w:rsidP="00000000" w:rsidRDefault="00000000" w:rsidRPr="00000000" w14:paraId="00000016">
      <w:pPr>
        <w:shd w:fill="ffffff" w:val="clear"/>
        <w:spacing w:after="180" w:before="180" w:lineRule="auto"/>
        <w:rPr>
          <w:color w:val="2d3b45"/>
          <w:sz w:val="24"/>
          <w:szCs w:val="24"/>
        </w:rPr>
      </w:pPr>
      <w:r w:rsidDel="00000000" w:rsidR="00000000" w:rsidRPr="00000000">
        <w:rPr>
          <w:color w:val="2d3b45"/>
          <w:sz w:val="24"/>
          <w:szCs w:val="24"/>
          <w:rtl w:val="0"/>
        </w:rPr>
        <w:t xml:space="preserve">Chapters one and two of </w:t>
      </w:r>
      <w:r w:rsidDel="00000000" w:rsidR="00000000" w:rsidRPr="00000000">
        <w:rPr>
          <w:i w:val="1"/>
          <w:color w:val="2d3b45"/>
          <w:sz w:val="24"/>
          <w:szCs w:val="24"/>
          <w:rtl w:val="0"/>
        </w:rPr>
        <w:t xml:space="preserve">Fundamentals of Qualitative</w:t>
      </w:r>
      <w:r w:rsidDel="00000000" w:rsidR="00000000" w:rsidRPr="00000000">
        <w:rPr>
          <w:color w:val="2d3b45"/>
          <w:sz w:val="24"/>
          <w:szCs w:val="24"/>
          <w:rtl w:val="0"/>
        </w:rPr>
        <w:t xml:space="preserve"> Research provide a comprehensive overview of qualitative research that can be applied to work within the digital humanities. The author, Kakali Byattacharya begins by outlining the differences between objectivist and constructivist truths. Objectivist truth being a truth that exists regardless of who derives meaning from it and is verifiable by duplicating results. Constructivist truth is dependent on the meaning assigned to it by the observer (28). This is an important distinction to make within the digital humanities because, unlike sciences such as biology, physics, etc. digital humanities’ use of ethnographies, interview studies, and oral histories for example, constructivist truth holds equal weight in research. Another distinction the author makes is between quantitative and qualitative research. Quantitative research being the discovery of patterns “captured and predicted with a degree of confidence that something beyond coincidence occurred” and qualitative which works within the context of human experiences (6).</w:t>
      </w:r>
    </w:p>
    <w:p w:rsidR="00000000" w:rsidDel="00000000" w:rsidP="00000000" w:rsidRDefault="00000000" w:rsidRPr="00000000" w14:paraId="00000017">
      <w:pPr>
        <w:shd w:fill="ffffff" w:val="clear"/>
        <w:spacing w:after="180" w:before="180" w:lineRule="auto"/>
        <w:rPr>
          <w:color w:val="2d3b45"/>
          <w:sz w:val="24"/>
          <w:szCs w:val="24"/>
        </w:rPr>
      </w:pPr>
      <w:r w:rsidDel="00000000" w:rsidR="00000000" w:rsidRPr="00000000">
        <w:rPr>
          <w:color w:val="2d3b45"/>
          <w:sz w:val="24"/>
          <w:szCs w:val="24"/>
          <w:rtl w:val="0"/>
        </w:rPr>
        <w:t xml:space="preserve">Byattacherya states that qualitative research has its roots in anthropology and sociology, beginning with the ethnography. Historically deeply problematic, etpioneers in the field conducted ethnographiesMargaret Mead and James Clifford. These researchers tended to view non-white subjects as “oddities” and research was conducted on participants rather than in collaboration with them as ethnographies are now done (8). To avoid the deeply exploitative behaviors of the past, modern researchers must recognize their own potential for bias. Byattacherya suggests that researchers of all types must analyze their natural inclination toward bias by claiming, owning, and documenting their values (36). The constructionist theory states that we construct meaning based on our interactions with the word and informs our qualitative research, the selection of a research question alone is a reflection of one’s epistemology (chapter one).</w:t>
      </w:r>
    </w:p>
    <w:p w:rsidR="00000000" w:rsidDel="00000000" w:rsidP="00000000" w:rsidRDefault="00000000" w:rsidRPr="00000000" w14:paraId="00000018">
      <w:pPr>
        <w:shd w:fill="ffffff" w:val="clear"/>
        <w:spacing w:after="180" w:before="180" w:lineRule="auto"/>
        <w:rPr>
          <w:color w:val="2d3b45"/>
          <w:sz w:val="24"/>
          <w:szCs w:val="24"/>
        </w:rPr>
      </w:pPr>
      <w:r w:rsidDel="00000000" w:rsidR="00000000" w:rsidRPr="00000000">
        <w:rPr>
          <w:color w:val="2d3b45"/>
          <w:sz w:val="24"/>
          <w:szCs w:val="24"/>
          <w:rtl w:val="0"/>
        </w:rPr>
        <w:t xml:space="preserve">The three purposes of qualitative research are to understand, interrogate, and deconstruct. Understanding is to simply understand, not to generalize the work; researching because the stories are important to tell. Interrogating needs to highlight issues of inequities and marginalization with the idea of developing a solution. This type of work is done in public policy and social justice research. Deconstructing on the other hand is done with the goal of breaking down assumptions, acknowledging that people are conditioned to see the world a certain way and these assumptions maintain social conditioning (31).</w:t>
      </w:r>
    </w:p>
    <w:p w:rsidR="00000000" w:rsidDel="00000000" w:rsidP="00000000" w:rsidRDefault="00000000" w:rsidRPr="00000000" w14:paraId="00000019">
      <w:pPr>
        <w:shd w:fill="ffffff" w:val="clear"/>
        <w:spacing w:after="180" w:before="180" w:lineRule="auto"/>
        <w:rPr>
          <w:color w:val="2d3b45"/>
          <w:sz w:val="24"/>
          <w:szCs w:val="24"/>
        </w:rPr>
      </w:pPr>
      <w:r w:rsidDel="00000000" w:rsidR="00000000" w:rsidRPr="00000000">
        <w:rPr>
          <w:color w:val="2d3b45"/>
          <w:sz w:val="24"/>
          <w:szCs w:val="24"/>
          <w:rtl w:val="0"/>
        </w:rPr>
        <w:t xml:space="preserve">Qualitative research has been questioned, most often by those who conduct quantitative research, as being of lesser academic rigor. Byattacherya presents a comprehensive list of ways to maintain high academic standards when conducting qualitative research. Some examples provided by the author are: prolonging duration of data collection, anticipating and addressing criticism, and finding ways to falsify, complicate, or problematize one’s own findings (23-24). Research within the umbrella of qualitative research that can be applied to the digital humanities includes but is not limited to: ethnography, case studies, interviews, narratives, grounded theory, oral history, and arts based projects (25).</w:t>
      </w:r>
    </w:p>
    <w:p w:rsidR="00000000" w:rsidDel="00000000" w:rsidP="00000000" w:rsidRDefault="00000000" w:rsidRPr="00000000" w14:paraId="0000001A">
      <w:pPr>
        <w:shd w:fill="ffffff" w:val="clear"/>
        <w:spacing w:after="180" w:before="180" w:lineRule="auto"/>
        <w:rPr>
          <w:color w:val="2d3b45"/>
          <w:sz w:val="24"/>
          <w:szCs w:val="24"/>
        </w:rPr>
      </w:pPr>
      <w:r w:rsidDel="00000000" w:rsidR="00000000" w:rsidRPr="00000000">
        <w:rPr>
          <w:color w:val="2d3b45"/>
          <w:sz w:val="24"/>
          <w:szCs w:val="24"/>
          <w:rtl w:val="0"/>
        </w:rPr>
        <w:t xml:space="preserve">The first two chapters of this text have been invaluable to me as I envision myself as a digital humanist. I’m anxious to dive right into the program and begin publishing work immediately. As I begin conducting research for an abstract I plan to submit in the next few weeks, I had been struggling to come up with research methods that would be appropriate for the discipline. I’ve previously limited myself to surveys and research methods found in the social sciences, but learning about the other types of research conducted within digital humanities has made me feel more at ease in this work. Byattacherya only briefly touches on bias and the troubled history of ethnography, but I feel that this needs far more attention as we study research methods. While we can look at the work of Mead and Clifford as antiquated, it’s crucial to recognize how easy it is to fall into the trap of viewing the subject as the “other” based on our epistemology. This topic has been in the news in the past week with the Smithsonian Museum of Natural History’s collection of human brains collected without consent. The Washington Post did a scathing investigation into the collection and how specimens were collected by curator Ales Hrdlicka primarily from indigenous people and used to further racist theories. In order to move forward as researchers, it’s important to acknowledge failures of the past in order to be as ethical as possible in our work. While we will not be collecting human remains as digital humanists, we have an unending supply of thoughts and ideas online and it’s essential to examine the role of consent and ethical use of data within our own research.</w:t>
      </w:r>
    </w:p>
    <w:p w:rsidR="00000000" w:rsidDel="00000000" w:rsidP="00000000" w:rsidRDefault="00000000" w:rsidRPr="00000000" w14:paraId="0000001B">
      <w:pPr>
        <w:shd w:fill="ffffff" w:val="clear"/>
        <w:spacing w:after="180" w:before="180" w:lineRule="auto"/>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01C">
      <w:pPr>
        <w:shd w:fill="ffffff" w:val="clear"/>
        <w:spacing w:after="180" w:before="180" w:lineRule="auto"/>
        <w:rPr>
          <w:color w:val="2d3b45"/>
          <w:sz w:val="24"/>
          <w:szCs w:val="24"/>
        </w:rPr>
      </w:pPr>
      <w:r w:rsidDel="00000000" w:rsidR="00000000" w:rsidRPr="00000000">
        <w:rPr>
          <w:color w:val="2d3b45"/>
          <w:sz w:val="24"/>
          <w:szCs w:val="24"/>
          <w:rtl w:val="0"/>
        </w:rPr>
        <w:t xml:space="preserve">Bhattacharya, Kakali. </w:t>
      </w:r>
      <w:r w:rsidDel="00000000" w:rsidR="00000000" w:rsidRPr="00000000">
        <w:rPr>
          <w:i w:val="1"/>
          <w:color w:val="2d3b45"/>
          <w:sz w:val="24"/>
          <w:szCs w:val="24"/>
          <w:rtl w:val="0"/>
        </w:rPr>
        <w:t xml:space="preserve">Fundamentals of Qualitative Research : a Practical Guide</w:t>
      </w:r>
      <w:r w:rsidDel="00000000" w:rsidR="00000000" w:rsidRPr="00000000">
        <w:rPr>
          <w:color w:val="2d3b45"/>
          <w:sz w:val="24"/>
          <w:szCs w:val="24"/>
          <w:rtl w:val="0"/>
        </w:rPr>
        <w:t xml:space="preserve">. New York: Routledge, 2017. Web.</w:t>
      </w:r>
    </w:p>
    <w:p w:rsidR="00000000" w:rsidDel="00000000" w:rsidP="00000000" w:rsidRDefault="00000000" w:rsidRPr="00000000" w14:paraId="0000001D">
      <w:pPr>
        <w:shd w:fill="ffffff" w:val="clear"/>
        <w:spacing w:before="180" w:lineRule="auto"/>
        <w:rPr>
          <w:color w:val="2d3b45"/>
          <w:sz w:val="24"/>
          <w:szCs w:val="24"/>
        </w:rPr>
      </w:pPr>
      <w:r w:rsidDel="00000000" w:rsidR="00000000" w:rsidRPr="00000000">
        <w:rPr>
          <w:color w:val="2d3b45"/>
          <w:sz w:val="24"/>
          <w:szCs w:val="24"/>
          <w:rtl w:val="0"/>
        </w:rPr>
        <w:t xml:space="preserve">Dungca, Nicole,  Healy, Claire. “Revealing the Smithsonian’s ‘Racial Brain Collection.’” The Washington Post, WP Company, 23 Aug. 2023, www.washingtonpost.com/history/interactive/2023/smithsonian-brains-collection-racial-history-repatriation/.</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w:t>
      </w:r>
    </w:p>
    <w:p w:rsidR="00000000" w:rsidDel="00000000" w:rsidP="00000000" w:rsidRDefault="00000000" w:rsidRPr="00000000" w14:paraId="00000021">
      <w:pPr>
        <w:shd w:fill="ffffff" w:val="clear"/>
        <w:spacing w:after="180" w:before="180" w:lineRule="auto"/>
        <w:rPr>
          <w:b w:val="1"/>
          <w:i w:val="1"/>
          <w:color w:val="2d3b45"/>
          <w:sz w:val="24"/>
          <w:szCs w:val="24"/>
        </w:rPr>
      </w:pPr>
      <w:r w:rsidDel="00000000" w:rsidR="00000000" w:rsidRPr="00000000">
        <w:rPr>
          <w:b w:val="1"/>
          <w:color w:val="2d3b45"/>
          <w:sz w:val="24"/>
          <w:szCs w:val="24"/>
          <w:rtl w:val="0"/>
        </w:rPr>
        <w:t xml:space="preserve">Discussion Leader Post: </w:t>
      </w:r>
      <w:r w:rsidDel="00000000" w:rsidR="00000000" w:rsidRPr="00000000">
        <w:rPr>
          <w:b w:val="1"/>
          <w:i w:val="1"/>
          <w:color w:val="2d3b45"/>
          <w:sz w:val="24"/>
          <w:szCs w:val="24"/>
          <w:rtl w:val="0"/>
        </w:rPr>
        <w:t xml:space="preserve">Digital_Humanities</w:t>
      </w:r>
    </w:p>
    <w:p w:rsidR="00000000" w:rsidDel="00000000" w:rsidP="00000000" w:rsidRDefault="00000000" w:rsidRPr="00000000" w14:paraId="00000022">
      <w:pPr>
        <w:shd w:fill="ffffff" w:val="clear"/>
        <w:spacing w:after="180" w:before="180" w:lineRule="auto"/>
        <w:rPr>
          <w:color w:val="2d3b45"/>
          <w:sz w:val="24"/>
          <w:szCs w:val="24"/>
        </w:rPr>
      </w:pPr>
      <w:r w:rsidDel="00000000" w:rsidR="00000000" w:rsidRPr="00000000">
        <w:rPr>
          <w:color w:val="2d3b45"/>
          <w:sz w:val="24"/>
          <w:szCs w:val="24"/>
          <w:rtl w:val="0"/>
        </w:rPr>
        <w:t xml:space="preserve">Section Two of </w:t>
      </w:r>
      <w:r w:rsidDel="00000000" w:rsidR="00000000" w:rsidRPr="00000000">
        <w:rPr>
          <w:i w:val="1"/>
          <w:color w:val="2d3b45"/>
          <w:sz w:val="24"/>
          <w:szCs w:val="24"/>
          <w:rtl w:val="0"/>
        </w:rPr>
        <w:t xml:space="preserve">Digital_Humanities</w:t>
      </w:r>
      <w:r w:rsidDel="00000000" w:rsidR="00000000" w:rsidRPr="00000000">
        <w:rPr>
          <w:color w:val="2d3b45"/>
          <w:sz w:val="24"/>
          <w:szCs w:val="24"/>
          <w:rtl w:val="0"/>
        </w:rPr>
        <w:t xml:space="preserve"> unpacked a lot of information by providing an introduction to various methods and genres (15 to be exact) that are emerging in the digital humanities. These each have a different impact on digital humanities—from the ways in which technology has changed traditionally static practices to the rise of visualization to how knowledge is shared across networks to create dynamic, collaborative communities. </w:t>
      </w:r>
    </w:p>
    <w:p w:rsidR="00000000" w:rsidDel="00000000" w:rsidP="00000000" w:rsidRDefault="00000000" w:rsidRPr="00000000" w14:paraId="00000023">
      <w:pPr>
        <w:shd w:fill="ffffff" w:val="clear"/>
        <w:spacing w:after="180" w:before="180" w:lineRule="auto"/>
        <w:rPr>
          <w:color w:val="2d3b45"/>
          <w:sz w:val="24"/>
          <w:szCs w:val="24"/>
        </w:rPr>
      </w:pPr>
      <w:r w:rsidDel="00000000" w:rsidR="00000000" w:rsidRPr="00000000">
        <w:rPr>
          <w:color w:val="2d3b45"/>
          <w:sz w:val="24"/>
          <w:szCs w:val="24"/>
          <w:rtl w:val="0"/>
        </w:rPr>
        <w:t xml:space="preserve">A brief overview of each “knowledge model” is provided below. </w:t>
      </w:r>
    </w:p>
    <w:p w:rsidR="00000000" w:rsidDel="00000000" w:rsidP="00000000" w:rsidRDefault="00000000" w:rsidRPr="00000000" w14:paraId="00000024">
      <w:pPr>
        <w:shd w:fill="ffffff" w:val="clear"/>
        <w:spacing w:after="180" w:before="180" w:lineRule="auto"/>
        <w:rPr>
          <w:b w:val="1"/>
          <w:color w:val="2d3b45"/>
          <w:sz w:val="24"/>
          <w:szCs w:val="24"/>
        </w:rPr>
      </w:pPr>
      <w:r w:rsidDel="00000000" w:rsidR="00000000" w:rsidRPr="00000000">
        <w:rPr>
          <w:b w:val="1"/>
          <w:color w:val="2d3b45"/>
          <w:sz w:val="24"/>
          <w:szCs w:val="24"/>
          <w:rtl w:val="0"/>
        </w:rPr>
        <w:t xml:space="preserve">Enhanced Critical Curation</w:t>
      </w:r>
    </w:p>
    <w:p w:rsidR="00000000" w:rsidDel="00000000" w:rsidP="00000000" w:rsidRDefault="00000000" w:rsidRPr="00000000" w14:paraId="00000025">
      <w:pPr>
        <w:pBdr>
          <w:left w:color="auto" w:space="30" w:sz="0" w:val="none"/>
        </w:pBdr>
        <w:shd w:fill="ffffff" w:val="clear"/>
        <w:spacing w:after="180" w:before="180" w:lineRule="auto"/>
        <w:rPr>
          <w:color w:val="2d3b45"/>
          <w:sz w:val="24"/>
          <w:szCs w:val="24"/>
        </w:rPr>
      </w:pPr>
      <w:r w:rsidDel="00000000" w:rsidR="00000000" w:rsidRPr="00000000">
        <w:rPr>
          <w:color w:val="2d3b45"/>
          <w:sz w:val="24"/>
          <w:szCs w:val="24"/>
          <w:rtl w:val="0"/>
        </w:rPr>
        <w:t xml:space="preserve">While collection-building and curation have always been a constant in humanistic knowledge, the digital age is changing the ways in which we select, organize, and present digital content. However, there is now more information available to us than ever before and it can be challenging to figure out what is most relevant and useful. Enhanced critical curation can help us filter through information overload. </w:t>
      </w:r>
    </w:p>
    <w:p w:rsidR="00000000" w:rsidDel="00000000" w:rsidP="00000000" w:rsidRDefault="00000000" w:rsidRPr="00000000" w14:paraId="00000026">
      <w:pPr>
        <w:shd w:fill="ffffff" w:val="clear"/>
        <w:spacing w:after="180" w:before="180" w:lineRule="auto"/>
        <w:rPr>
          <w:b w:val="1"/>
          <w:color w:val="2d3b45"/>
          <w:sz w:val="24"/>
          <w:szCs w:val="24"/>
        </w:rPr>
      </w:pPr>
      <w:r w:rsidDel="00000000" w:rsidR="00000000" w:rsidRPr="00000000">
        <w:rPr>
          <w:b w:val="1"/>
          <w:color w:val="2d3b45"/>
          <w:sz w:val="24"/>
          <w:szCs w:val="24"/>
          <w:rtl w:val="0"/>
        </w:rPr>
        <w:t xml:space="preserve">Augmented Editions and Fluid Textuality</w:t>
      </w:r>
    </w:p>
    <w:p w:rsidR="00000000" w:rsidDel="00000000" w:rsidP="00000000" w:rsidRDefault="00000000" w:rsidRPr="00000000" w14:paraId="00000027">
      <w:pPr>
        <w:pBdr>
          <w:left w:color="auto" w:space="30" w:sz="0" w:val="none"/>
        </w:pBdr>
        <w:shd w:fill="ffffff" w:val="clear"/>
        <w:spacing w:after="180" w:before="180" w:lineRule="auto"/>
        <w:rPr>
          <w:color w:val="2d3b45"/>
          <w:sz w:val="24"/>
          <w:szCs w:val="24"/>
        </w:rPr>
      </w:pPr>
      <w:r w:rsidDel="00000000" w:rsidR="00000000" w:rsidRPr="00000000">
        <w:rPr>
          <w:color w:val="2d3b45"/>
          <w:sz w:val="24"/>
          <w:szCs w:val="24"/>
          <w:rtl w:val="0"/>
        </w:rPr>
        <w:t xml:space="preserve">Digital humanities provides an opportunity to interact with texts in new ways, such as through augmented editions and fluid textuality. Augmented editions leave room for features, including annotations, commentary, transcribing, and more. Whereas, fluid textuality allows us to change texts in variants or versions. This may include cutting/pasting of texts, editing, changing formatting and fonts, transcription, translation, and more. </w:t>
      </w:r>
    </w:p>
    <w:p w:rsidR="00000000" w:rsidDel="00000000" w:rsidP="00000000" w:rsidRDefault="00000000" w:rsidRPr="00000000" w14:paraId="00000028">
      <w:pPr>
        <w:shd w:fill="ffffff" w:val="clear"/>
        <w:spacing w:after="180" w:before="180" w:lineRule="auto"/>
        <w:rPr>
          <w:b w:val="1"/>
          <w:color w:val="2d3b45"/>
          <w:sz w:val="24"/>
          <w:szCs w:val="24"/>
        </w:rPr>
      </w:pPr>
      <w:r w:rsidDel="00000000" w:rsidR="00000000" w:rsidRPr="00000000">
        <w:rPr>
          <w:b w:val="1"/>
          <w:color w:val="2d3b45"/>
          <w:sz w:val="24"/>
          <w:szCs w:val="24"/>
          <w:rtl w:val="0"/>
        </w:rPr>
        <w:t xml:space="preserve">Scale: The Law of Large Numbers</w:t>
      </w:r>
    </w:p>
    <w:p w:rsidR="00000000" w:rsidDel="00000000" w:rsidP="00000000" w:rsidRDefault="00000000" w:rsidRPr="00000000" w14:paraId="00000029">
      <w:pPr>
        <w:pBdr>
          <w:left w:color="auto" w:space="30" w:sz="0" w:val="none"/>
        </w:pBdr>
        <w:shd w:fill="ffffff" w:val="clear"/>
        <w:spacing w:after="180" w:before="180" w:lineRule="auto"/>
        <w:rPr>
          <w:color w:val="2d3b45"/>
          <w:sz w:val="24"/>
          <w:szCs w:val="24"/>
        </w:rPr>
      </w:pPr>
      <w:r w:rsidDel="00000000" w:rsidR="00000000" w:rsidRPr="00000000">
        <w:rPr>
          <w:color w:val="2d3b45"/>
          <w:sz w:val="24"/>
          <w:szCs w:val="24"/>
          <w:rtl w:val="0"/>
        </w:rPr>
        <w:t xml:space="preserve">Digital technologies allow us to study large data sets. This can help us identify patterns, trends, and interconnections that would be difficult to put together through previously limited data sets in the humanities. Having access to massive amounts of metadata can lead to new insights into human culture and history. </w:t>
      </w:r>
    </w:p>
    <w:p w:rsidR="00000000" w:rsidDel="00000000" w:rsidP="00000000" w:rsidRDefault="00000000" w:rsidRPr="00000000" w14:paraId="0000002A">
      <w:pPr>
        <w:shd w:fill="ffffff" w:val="clear"/>
        <w:spacing w:after="180" w:before="180" w:lineRule="auto"/>
        <w:rPr>
          <w:b w:val="1"/>
          <w:color w:val="2d3b45"/>
          <w:sz w:val="24"/>
          <w:szCs w:val="24"/>
        </w:rPr>
      </w:pPr>
      <w:r w:rsidDel="00000000" w:rsidR="00000000" w:rsidRPr="00000000">
        <w:rPr>
          <w:b w:val="1"/>
          <w:color w:val="2d3b45"/>
          <w:sz w:val="24"/>
          <w:szCs w:val="24"/>
          <w:rtl w:val="0"/>
        </w:rPr>
        <w:t xml:space="preserve">Distance/Close, Macro/Micro, Surface/Depth</w:t>
      </w:r>
    </w:p>
    <w:p w:rsidR="00000000" w:rsidDel="00000000" w:rsidP="00000000" w:rsidRDefault="00000000" w:rsidRPr="00000000" w14:paraId="0000002B">
      <w:pPr>
        <w:pBdr>
          <w:left w:color="auto" w:space="30" w:sz="0" w:val="none"/>
        </w:pBdr>
        <w:shd w:fill="ffffff" w:val="clear"/>
        <w:spacing w:after="180" w:before="180" w:lineRule="auto"/>
        <w:rPr>
          <w:color w:val="2d3b45"/>
          <w:sz w:val="24"/>
          <w:szCs w:val="24"/>
        </w:rPr>
      </w:pPr>
      <w:r w:rsidDel="00000000" w:rsidR="00000000" w:rsidRPr="00000000">
        <w:rPr>
          <w:color w:val="2d3b45"/>
          <w:sz w:val="24"/>
          <w:szCs w:val="24"/>
          <w:rtl w:val="0"/>
        </w:rPr>
        <w:t xml:space="preserve">This examines the ways these three pairs can be used to think about the relationship between digital humanities and traditional humanities scholarship. The best approach varies depending on the question being asked; however, the authors explain how “the digital humanist is capable of ‘toggling’ between views of the data” (39). This allows us to investigate larger patterns and trends while also further examining the depth, or the hidden meanings that may not be immediately apparent. </w:t>
      </w:r>
    </w:p>
    <w:p w:rsidR="00000000" w:rsidDel="00000000" w:rsidP="00000000" w:rsidRDefault="00000000" w:rsidRPr="00000000" w14:paraId="0000002C">
      <w:pPr>
        <w:shd w:fill="ffffff" w:val="clear"/>
        <w:spacing w:after="180" w:before="180" w:lineRule="auto"/>
        <w:rPr>
          <w:b w:val="1"/>
          <w:color w:val="2d3b45"/>
          <w:sz w:val="24"/>
          <w:szCs w:val="24"/>
        </w:rPr>
      </w:pPr>
      <w:r w:rsidDel="00000000" w:rsidR="00000000" w:rsidRPr="00000000">
        <w:rPr>
          <w:b w:val="1"/>
          <w:color w:val="2d3b45"/>
          <w:sz w:val="24"/>
          <w:szCs w:val="24"/>
          <w:rtl w:val="0"/>
        </w:rPr>
        <w:t xml:space="preserve">Cultural Analytics, Aggregation, and Data Mining</w:t>
      </w:r>
    </w:p>
    <w:p w:rsidR="00000000" w:rsidDel="00000000" w:rsidP="00000000" w:rsidRDefault="00000000" w:rsidRPr="00000000" w14:paraId="0000002D">
      <w:pPr>
        <w:pBdr>
          <w:left w:color="auto" w:space="30" w:sz="0" w:val="none"/>
        </w:pBdr>
        <w:shd w:fill="ffffff" w:val="clear"/>
        <w:spacing w:after="180" w:before="180" w:lineRule="auto"/>
        <w:rPr>
          <w:color w:val="2d3b45"/>
          <w:sz w:val="24"/>
          <w:szCs w:val="24"/>
        </w:rPr>
      </w:pPr>
      <w:r w:rsidDel="00000000" w:rsidR="00000000" w:rsidRPr="00000000">
        <w:rPr>
          <w:color w:val="2d3b45"/>
          <w:sz w:val="24"/>
          <w:szCs w:val="24"/>
          <w:rtl w:val="0"/>
        </w:rPr>
        <w:t xml:space="preserve">Each of these help digital humanists study large datasets. Cultural analytics looks at artifacts that may combine different media types, such as webpages, images, sounds, music, video, and more. Aggregation allows us to collect and organize this data from multiple sources. Data mining then is used to extract knowledge from this data and display our findings through statistics, text, or data visualization. </w:t>
      </w:r>
    </w:p>
    <w:p w:rsidR="00000000" w:rsidDel="00000000" w:rsidP="00000000" w:rsidRDefault="00000000" w:rsidRPr="00000000" w14:paraId="0000002E">
      <w:pPr>
        <w:shd w:fill="ffffff" w:val="clear"/>
        <w:spacing w:after="180" w:before="180" w:lineRule="auto"/>
        <w:rPr>
          <w:b w:val="1"/>
          <w:color w:val="2d3b45"/>
          <w:sz w:val="24"/>
          <w:szCs w:val="24"/>
        </w:rPr>
      </w:pPr>
      <w:r w:rsidDel="00000000" w:rsidR="00000000" w:rsidRPr="00000000">
        <w:rPr>
          <w:b w:val="1"/>
          <w:color w:val="2d3b45"/>
          <w:sz w:val="24"/>
          <w:szCs w:val="24"/>
          <w:rtl w:val="0"/>
        </w:rPr>
        <w:t xml:space="preserve">Visualization and Data Design</w:t>
      </w:r>
    </w:p>
    <w:p w:rsidR="00000000" w:rsidDel="00000000" w:rsidP="00000000" w:rsidRDefault="00000000" w:rsidRPr="00000000" w14:paraId="0000002F">
      <w:pPr>
        <w:pBdr>
          <w:left w:color="auto" w:space="30" w:sz="0" w:val="none"/>
        </w:pBdr>
        <w:shd w:fill="ffffff" w:val="clear"/>
        <w:spacing w:after="180" w:before="180" w:lineRule="auto"/>
        <w:rPr>
          <w:color w:val="2d3b45"/>
          <w:sz w:val="24"/>
          <w:szCs w:val="24"/>
        </w:rPr>
      </w:pPr>
      <w:r w:rsidDel="00000000" w:rsidR="00000000" w:rsidRPr="00000000">
        <w:rPr>
          <w:color w:val="2d3b45"/>
          <w:sz w:val="24"/>
          <w:szCs w:val="24"/>
          <w:rtl w:val="0"/>
        </w:rPr>
        <w:t xml:space="preserve">Visuals can represent data in a new way to help make it more understandable and accessible. An example provided includes experiential visualization which uses movement through time and space—providing us with a new way to investigate a state of knowledge. One challenge with visualization and data design, however, is that visual displays may be seen as objective rather than rhetorical constructs. </w:t>
      </w:r>
    </w:p>
    <w:p w:rsidR="00000000" w:rsidDel="00000000" w:rsidP="00000000" w:rsidRDefault="00000000" w:rsidRPr="00000000" w14:paraId="00000030">
      <w:pPr>
        <w:shd w:fill="ffffff" w:val="clear"/>
        <w:spacing w:after="180" w:before="180" w:lineRule="auto"/>
        <w:rPr>
          <w:b w:val="1"/>
          <w:color w:val="2d3b45"/>
          <w:sz w:val="24"/>
          <w:szCs w:val="24"/>
        </w:rPr>
      </w:pPr>
      <w:r w:rsidDel="00000000" w:rsidR="00000000" w:rsidRPr="00000000">
        <w:rPr>
          <w:b w:val="1"/>
          <w:color w:val="2d3b45"/>
          <w:sz w:val="24"/>
          <w:szCs w:val="24"/>
          <w:rtl w:val="0"/>
        </w:rPr>
        <w:t xml:space="preserve">Locative Investigation and Thick Mapping</w:t>
      </w:r>
    </w:p>
    <w:p w:rsidR="00000000" w:rsidDel="00000000" w:rsidP="00000000" w:rsidRDefault="00000000" w:rsidRPr="00000000" w14:paraId="00000031">
      <w:pPr>
        <w:pBdr>
          <w:left w:color="auto" w:space="30" w:sz="0" w:val="none"/>
        </w:pBdr>
        <w:shd w:fill="ffffff" w:val="clear"/>
        <w:spacing w:after="180" w:before="180" w:lineRule="auto"/>
        <w:rPr>
          <w:color w:val="2d3b45"/>
          <w:sz w:val="24"/>
          <w:szCs w:val="24"/>
        </w:rPr>
      </w:pPr>
      <w:r w:rsidDel="00000000" w:rsidR="00000000" w:rsidRPr="00000000">
        <w:rPr>
          <w:color w:val="2d3b45"/>
          <w:sz w:val="24"/>
          <w:szCs w:val="24"/>
          <w:rtl w:val="0"/>
        </w:rPr>
        <w:t xml:space="preserve">This can be used to study spatial dimensions of human culture and history. Since environments are constantly changing, maps can be multidimensional—overlay new data sets, add new annotations, include previously missing voices, and more. Over time, we can discover new relationships and navigate knowledge in an interactive way. </w:t>
      </w:r>
    </w:p>
    <w:p w:rsidR="00000000" w:rsidDel="00000000" w:rsidP="00000000" w:rsidRDefault="00000000" w:rsidRPr="00000000" w14:paraId="00000032">
      <w:pPr>
        <w:shd w:fill="ffffff" w:val="clear"/>
        <w:spacing w:after="180" w:before="180" w:lineRule="auto"/>
        <w:rPr>
          <w:b w:val="1"/>
          <w:color w:val="2d3b45"/>
          <w:sz w:val="24"/>
          <w:szCs w:val="24"/>
        </w:rPr>
      </w:pPr>
      <w:r w:rsidDel="00000000" w:rsidR="00000000" w:rsidRPr="00000000">
        <w:rPr>
          <w:b w:val="1"/>
          <w:color w:val="2d3b45"/>
          <w:sz w:val="24"/>
          <w:szCs w:val="24"/>
          <w:rtl w:val="0"/>
        </w:rPr>
        <w:t xml:space="preserve">The Animated Archive</w:t>
      </w:r>
    </w:p>
    <w:p w:rsidR="00000000" w:rsidDel="00000000" w:rsidP="00000000" w:rsidRDefault="00000000" w:rsidRPr="00000000" w14:paraId="00000033">
      <w:pPr>
        <w:pBdr>
          <w:left w:color="auto" w:space="30" w:sz="0" w:val="none"/>
        </w:pBdr>
        <w:shd w:fill="ffffff" w:val="clear"/>
        <w:spacing w:after="180" w:before="180" w:lineRule="auto"/>
        <w:rPr>
          <w:color w:val="2d3b45"/>
          <w:sz w:val="24"/>
          <w:szCs w:val="24"/>
        </w:rPr>
      </w:pPr>
      <w:r w:rsidDel="00000000" w:rsidR="00000000" w:rsidRPr="00000000">
        <w:rPr>
          <w:color w:val="2d3b45"/>
          <w:sz w:val="24"/>
          <w:szCs w:val="24"/>
          <w:rtl w:val="0"/>
        </w:rPr>
        <w:t xml:space="preserve">Previously, many collections were limited to a physical location, such as a library or museum, and objects were at risk of entering a limbo after a certain period of time. Now, the intersection between the physical and virtual can help accessibility and outreach, as well as collaboration for future research. </w:t>
      </w:r>
    </w:p>
    <w:p w:rsidR="00000000" w:rsidDel="00000000" w:rsidP="00000000" w:rsidRDefault="00000000" w:rsidRPr="00000000" w14:paraId="00000034">
      <w:pPr>
        <w:shd w:fill="ffffff" w:val="clear"/>
        <w:spacing w:after="180" w:before="180" w:lineRule="auto"/>
        <w:rPr>
          <w:b w:val="1"/>
          <w:color w:val="2d3b45"/>
          <w:sz w:val="24"/>
          <w:szCs w:val="24"/>
        </w:rPr>
      </w:pPr>
      <w:r w:rsidDel="00000000" w:rsidR="00000000" w:rsidRPr="00000000">
        <w:rPr>
          <w:b w:val="1"/>
          <w:color w:val="2d3b45"/>
          <w:sz w:val="24"/>
          <w:szCs w:val="24"/>
          <w:rtl w:val="0"/>
        </w:rPr>
        <w:t xml:space="preserve">Distributed Knowledge Production and Performative Access</w:t>
      </w:r>
    </w:p>
    <w:p w:rsidR="00000000" w:rsidDel="00000000" w:rsidP="00000000" w:rsidRDefault="00000000" w:rsidRPr="00000000" w14:paraId="00000035">
      <w:pPr>
        <w:pBdr>
          <w:left w:color="auto" w:space="30" w:sz="0" w:val="none"/>
        </w:pBdr>
        <w:shd w:fill="ffffff" w:val="clear"/>
        <w:spacing w:after="180" w:before="180" w:lineRule="auto"/>
        <w:rPr>
          <w:color w:val="2d3b45"/>
          <w:sz w:val="24"/>
          <w:szCs w:val="24"/>
        </w:rPr>
      </w:pPr>
      <w:r w:rsidDel="00000000" w:rsidR="00000000" w:rsidRPr="00000000">
        <w:rPr>
          <w:color w:val="2d3b45"/>
          <w:sz w:val="24"/>
          <w:szCs w:val="24"/>
          <w:rtl w:val="0"/>
        </w:rPr>
        <w:t xml:space="preserve">Digital humanists often do not work alone. Collaboration is key, so projects may entail people from many different domains to cover multiple areas of expertise. This represents a new way of thinking—rather than the traditional view of knowledge as static, we now recognize it as a dynamic and evolving process that allows for creative interactions. </w:t>
      </w:r>
    </w:p>
    <w:p w:rsidR="00000000" w:rsidDel="00000000" w:rsidP="00000000" w:rsidRDefault="00000000" w:rsidRPr="00000000" w14:paraId="00000036">
      <w:pPr>
        <w:shd w:fill="ffffff" w:val="clear"/>
        <w:spacing w:after="180" w:before="180" w:lineRule="auto"/>
        <w:rPr>
          <w:b w:val="1"/>
          <w:color w:val="2d3b45"/>
          <w:sz w:val="24"/>
          <w:szCs w:val="24"/>
        </w:rPr>
      </w:pPr>
      <w:r w:rsidDel="00000000" w:rsidR="00000000" w:rsidRPr="00000000">
        <w:rPr>
          <w:b w:val="1"/>
          <w:color w:val="2d3b45"/>
          <w:sz w:val="24"/>
          <w:szCs w:val="24"/>
          <w:rtl w:val="0"/>
        </w:rPr>
        <w:t xml:space="preserve">Humanities Gaming</w:t>
      </w:r>
    </w:p>
    <w:p w:rsidR="00000000" w:rsidDel="00000000" w:rsidP="00000000" w:rsidRDefault="00000000" w:rsidRPr="00000000" w14:paraId="00000037">
      <w:pPr>
        <w:pBdr>
          <w:left w:color="auto" w:space="30" w:sz="0" w:val="none"/>
        </w:pBdr>
        <w:shd w:fill="ffffff" w:val="clear"/>
        <w:spacing w:after="180" w:before="180" w:lineRule="auto"/>
        <w:rPr>
          <w:color w:val="2d3b45"/>
          <w:sz w:val="24"/>
          <w:szCs w:val="24"/>
        </w:rPr>
      </w:pPr>
      <w:r w:rsidDel="00000000" w:rsidR="00000000" w:rsidRPr="00000000">
        <w:rPr>
          <w:color w:val="2d3b45"/>
          <w:sz w:val="24"/>
          <w:szCs w:val="24"/>
          <w:rtl w:val="0"/>
        </w:rPr>
        <w:t xml:space="preserve">While games have only recently started to be taken seriously by academia, their popularity is rapidly growing in digital humanities. As the authors discuss, games can transform pedagogy in two ways: The first is related to their interactivity and ability to connect people from across the world real-time; the second considers the generations of students that have grown up gaming. </w:t>
      </w:r>
    </w:p>
    <w:p w:rsidR="00000000" w:rsidDel="00000000" w:rsidP="00000000" w:rsidRDefault="00000000" w:rsidRPr="00000000" w14:paraId="00000038">
      <w:pPr>
        <w:shd w:fill="ffffff" w:val="clear"/>
        <w:spacing w:after="180" w:before="180" w:lineRule="auto"/>
        <w:rPr>
          <w:b w:val="1"/>
          <w:color w:val="2d3b45"/>
          <w:sz w:val="24"/>
          <w:szCs w:val="24"/>
        </w:rPr>
      </w:pPr>
      <w:r w:rsidDel="00000000" w:rsidR="00000000" w:rsidRPr="00000000">
        <w:rPr>
          <w:b w:val="1"/>
          <w:color w:val="2d3b45"/>
          <w:sz w:val="24"/>
          <w:szCs w:val="24"/>
          <w:rtl w:val="0"/>
        </w:rPr>
        <w:t xml:space="preserve">Code, Software, and Platform Studies</w:t>
      </w:r>
    </w:p>
    <w:p w:rsidR="00000000" w:rsidDel="00000000" w:rsidP="00000000" w:rsidRDefault="00000000" w:rsidRPr="00000000" w14:paraId="00000039">
      <w:pPr>
        <w:pBdr>
          <w:left w:color="auto" w:space="30" w:sz="0" w:val="none"/>
        </w:pBdr>
        <w:shd w:fill="ffffff" w:val="clear"/>
        <w:spacing w:after="180" w:before="180" w:lineRule="auto"/>
        <w:rPr>
          <w:color w:val="2d3b45"/>
          <w:sz w:val="24"/>
          <w:szCs w:val="24"/>
        </w:rPr>
      </w:pPr>
      <w:r w:rsidDel="00000000" w:rsidR="00000000" w:rsidRPr="00000000">
        <w:rPr>
          <w:color w:val="2d3b45"/>
          <w:sz w:val="24"/>
          <w:szCs w:val="24"/>
          <w:rtl w:val="0"/>
        </w:rPr>
        <w:t xml:space="preserve">By gaining an understanding about the history of software  and the underlying infrastructure that allows software to run, we can explore the ways in which technology shapes our lives. As the authors discuss, “analytic engagement with computational processes as forms of composition, exposes their complexity” (54).</w:t>
      </w:r>
    </w:p>
    <w:p w:rsidR="00000000" w:rsidDel="00000000" w:rsidP="00000000" w:rsidRDefault="00000000" w:rsidRPr="00000000" w14:paraId="0000003A">
      <w:pPr>
        <w:shd w:fill="ffffff" w:val="clear"/>
        <w:spacing w:after="180" w:before="180" w:lineRule="auto"/>
        <w:rPr>
          <w:b w:val="1"/>
          <w:color w:val="2d3b45"/>
          <w:sz w:val="24"/>
          <w:szCs w:val="24"/>
        </w:rPr>
      </w:pPr>
      <w:r w:rsidDel="00000000" w:rsidR="00000000" w:rsidRPr="00000000">
        <w:rPr>
          <w:b w:val="1"/>
          <w:color w:val="2d3b45"/>
          <w:sz w:val="24"/>
          <w:szCs w:val="24"/>
          <w:rtl w:val="0"/>
        </w:rPr>
        <w:t xml:space="preserve">Database Documentaries</w:t>
      </w:r>
    </w:p>
    <w:p w:rsidR="00000000" w:rsidDel="00000000" w:rsidP="00000000" w:rsidRDefault="00000000" w:rsidRPr="00000000" w14:paraId="0000003B">
      <w:pPr>
        <w:pBdr>
          <w:left w:color="auto" w:space="30" w:sz="0" w:val="none"/>
        </w:pBdr>
        <w:shd w:fill="ffffff" w:val="clear"/>
        <w:spacing w:after="180" w:before="180" w:lineRule="auto"/>
        <w:rPr>
          <w:color w:val="2d3b45"/>
          <w:sz w:val="24"/>
          <w:szCs w:val="24"/>
        </w:rPr>
      </w:pPr>
      <w:r w:rsidDel="00000000" w:rsidR="00000000" w:rsidRPr="00000000">
        <w:rPr>
          <w:color w:val="2d3b45"/>
          <w:sz w:val="24"/>
          <w:szCs w:val="24"/>
          <w:rtl w:val="0"/>
        </w:rPr>
        <w:t xml:space="preserve">These can be built from a wide range of media types and may use the entire human sensorium for knowledge. Multiple intersecting storylines exist, allowing the reader/viewer with a series of guided paths for greater fluidity. Because of this, it can be difficult to build cohesive storylines; however, the intersection of interrelated stories provide an opportunity to enhance expression. </w:t>
      </w:r>
    </w:p>
    <w:p w:rsidR="00000000" w:rsidDel="00000000" w:rsidP="00000000" w:rsidRDefault="00000000" w:rsidRPr="00000000" w14:paraId="0000003C">
      <w:pPr>
        <w:shd w:fill="ffffff" w:val="clear"/>
        <w:spacing w:after="180" w:before="180" w:lineRule="auto"/>
        <w:rPr>
          <w:b w:val="1"/>
          <w:color w:val="2d3b45"/>
          <w:sz w:val="24"/>
          <w:szCs w:val="24"/>
        </w:rPr>
      </w:pPr>
      <w:r w:rsidDel="00000000" w:rsidR="00000000" w:rsidRPr="00000000">
        <w:rPr>
          <w:b w:val="1"/>
          <w:color w:val="2d3b45"/>
          <w:sz w:val="24"/>
          <w:szCs w:val="24"/>
          <w:rtl w:val="0"/>
        </w:rPr>
        <w:t xml:space="preserve">Repurposable Content and Remix Culture</w:t>
      </w:r>
    </w:p>
    <w:p w:rsidR="00000000" w:rsidDel="00000000" w:rsidP="00000000" w:rsidRDefault="00000000" w:rsidRPr="00000000" w14:paraId="0000003D">
      <w:pPr>
        <w:pBdr>
          <w:left w:color="auto" w:space="30" w:sz="0" w:val="none"/>
        </w:pBdr>
        <w:shd w:fill="ffffff" w:val="clear"/>
        <w:spacing w:after="180" w:before="180" w:lineRule="auto"/>
        <w:rPr>
          <w:color w:val="2d3b45"/>
          <w:sz w:val="24"/>
          <w:szCs w:val="24"/>
        </w:rPr>
      </w:pPr>
      <w:r w:rsidDel="00000000" w:rsidR="00000000" w:rsidRPr="00000000">
        <w:rPr>
          <w:color w:val="2d3b45"/>
          <w:sz w:val="24"/>
          <w:szCs w:val="24"/>
          <w:rtl w:val="0"/>
        </w:rPr>
        <w:t xml:space="preserve">By reusing and recombining existing materials, we can create new scholarship that is creative and critical without having to start from scratch. As the authors note, though, the challenge is figuring out how to write texts in a way that can be reused for different levels of interest and allow for different degrees of detail for arguments. </w:t>
      </w:r>
    </w:p>
    <w:p w:rsidR="00000000" w:rsidDel="00000000" w:rsidP="00000000" w:rsidRDefault="00000000" w:rsidRPr="00000000" w14:paraId="0000003E">
      <w:pPr>
        <w:shd w:fill="ffffff" w:val="clear"/>
        <w:spacing w:after="180" w:before="180" w:lineRule="auto"/>
        <w:rPr>
          <w:b w:val="1"/>
          <w:color w:val="2d3b45"/>
          <w:sz w:val="24"/>
          <w:szCs w:val="24"/>
        </w:rPr>
      </w:pPr>
      <w:r w:rsidDel="00000000" w:rsidR="00000000" w:rsidRPr="00000000">
        <w:rPr>
          <w:b w:val="1"/>
          <w:color w:val="2d3b45"/>
          <w:sz w:val="24"/>
          <w:szCs w:val="24"/>
          <w:rtl w:val="0"/>
        </w:rPr>
        <w:t xml:space="preserve">Pervasive Infrastructure</w:t>
      </w:r>
    </w:p>
    <w:p w:rsidR="00000000" w:rsidDel="00000000" w:rsidP="00000000" w:rsidRDefault="00000000" w:rsidRPr="00000000" w14:paraId="0000003F">
      <w:pPr>
        <w:pBdr>
          <w:left w:color="auto" w:space="30" w:sz="0" w:val="none"/>
        </w:pBdr>
        <w:shd w:fill="ffffff" w:val="clear"/>
        <w:spacing w:after="180" w:before="180" w:lineRule="auto"/>
        <w:rPr>
          <w:color w:val="2d3b45"/>
          <w:sz w:val="24"/>
          <w:szCs w:val="24"/>
        </w:rPr>
      </w:pPr>
      <w:r w:rsidDel="00000000" w:rsidR="00000000" w:rsidRPr="00000000">
        <w:rPr>
          <w:color w:val="2d3b45"/>
          <w:sz w:val="24"/>
          <w:szCs w:val="24"/>
          <w:rtl w:val="0"/>
        </w:rPr>
        <w:t xml:space="preserve">Think about the invisible systems that support our digital lives—computer networks, software, cloud computing, and more. This allows us to have access to entire data sets online and also to use data across different sources (from various archives, libraries, and repositories) and customize it based on the needs of the researcher. Openness can challenge the traditional boundaries between disciplines and create new forms of knowledge. </w:t>
      </w:r>
    </w:p>
    <w:p w:rsidR="00000000" w:rsidDel="00000000" w:rsidP="00000000" w:rsidRDefault="00000000" w:rsidRPr="00000000" w14:paraId="00000040">
      <w:pPr>
        <w:shd w:fill="ffffff" w:val="clear"/>
        <w:spacing w:after="180" w:before="180" w:lineRule="auto"/>
        <w:rPr>
          <w:b w:val="1"/>
          <w:color w:val="2d3b45"/>
          <w:sz w:val="24"/>
          <w:szCs w:val="24"/>
        </w:rPr>
      </w:pPr>
      <w:r w:rsidDel="00000000" w:rsidR="00000000" w:rsidRPr="00000000">
        <w:rPr>
          <w:b w:val="1"/>
          <w:color w:val="2d3b45"/>
          <w:sz w:val="24"/>
          <w:szCs w:val="24"/>
          <w:rtl w:val="0"/>
        </w:rPr>
        <w:t xml:space="preserve">Ubiquitous Scholarship</w:t>
      </w:r>
    </w:p>
    <w:p w:rsidR="00000000" w:rsidDel="00000000" w:rsidP="00000000" w:rsidRDefault="00000000" w:rsidRPr="00000000" w14:paraId="00000041">
      <w:pPr>
        <w:pBdr>
          <w:left w:color="auto" w:space="30" w:sz="0" w:val="none"/>
        </w:pBdr>
        <w:shd w:fill="ffffff" w:val="clear"/>
        <w:spacing w:after="180" w:before="180" w:lineRule="auto"/>
        <w:rPr>
          <w:color w:val="2d3b45"/>
          <w:sz w:val="24"/>
          <w:szCs w:val="24"/>
        </w:rPr>
      </w:pPr>
      <w:r w:rsidDel="00000000" w:rsidR="00000000" w:rsidRPr="00000000">
        <w:rPr>
          <w:color w:val="2d3b45"/>
          <w:sz w:val="24"/>
          <w:szCs w:val="24"/>
          <w:rtl w:val="0"/>
        </w:rPr>
        <w:t xml:space="preserve">“Nothing exists in isolation but rather in ever-denser networks of interconnection” (59). There were once firm boundary lines because of physical locations, but now creating, sharing, and accessing knowledge is part of a networked environment. Benefits range from ease of collaboration, scholarship that is accessible, and interactive/engaging knowledge. However, surveillance, tracking, and privacy continue to be a challenge. </w:t>
      </w:r>
    </w:p>
    <w:p w:rsidR="00000000" w:rsidDel="00000000" w:rsidP="00000000" w:rsidRDefault="00000000" w:rsidRPr="00000000" w14:paraId="00000042">
      <w:pPr>
        <w:shd w:fill="ffffff" w:val="clear"/>
        <w:spacing w:after="180" w:before="180" w:lineRule="auto"/>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043">
      <w:pPr>
        <w:shd w:fill="ffffff" w:val="clear"/>
        <w:spacing w:after="180" w:before="180" w:lineRule="auto"/>
        <w:rPr>
          <w:color w:val="2d3b45"/>
          <w:sz w:val="24"/>
          <w:szCs w:val="24"/>
        </w:rPr>
      </w:pPr>
      <w:r w:rsidDel="00000000" w:rsidR="00000000" w:rsidRPr="00000000">
        <w:rPr>
          <w:color w:val="2d3b45"/>
          <w:sz w:val="24"/>
          <w:szCs w:val="24"/>
          <w:rtl w:val="0"/>
        </w:rPr>
        <w:t xml:space="preserve">While this list is not exhaustive, I found it interesting to see how digital humanities is moving forward and the different parts that have played a role in impacting what it is today. One of the common threads across each of these that resonated most with me was accessibility. In my previous learnings about accessibility, I felt that the scope was often limited; however, I appreciate how the authors reframe the conversation in discussing these methods and genres and touch on what is made accessible, how and in what form (19), and how it affects the way we learn (25). I also found the sections that touched on data mining and visualization/data design to be interesting. I will admit that these are topics I am just starting to explore, but I can see how they may be impactful in my own research. For instance, the rhetoric of graphics is a skill I would personally like to get better at, and Burdick et al show how visualization in the digital humanities can take different forms outside of the use of graphs, charts, and diagrams that I am most familiar with. </w:t>
      </w:r>
    </w:p>
    <w:p w:rsidR="00000000" w:rsidDel="00000000" w:rsidP="00000000" w:rsidRDefault="00000000" w:rsidRPr="00000000" w14:paraId="00000044">
      <w:pPr>
        <w:shd w:fill="ffffff" w:val="clear"/>
        <w:spacing w:before="180" w:lineRule="auto"/>
        <w:rPr>
          <w:color w:val="2d3b45"/>
          <w:sz w:val="24"/>
          <w:szCs w:val="24"/>
        </w:rPr>
      </w:pPr>
      <w:r w:rsidDel="00000000" w:rsidR="00000000" w:rsidRPr="00000000">
        <w:rPr>
          <w:color w:val="2d3b45"/>
          <w:sz w:val="24"/>
          <w:szCs w:val="24"/>
          <w:rtl w:val="0"/>
        </w:rPr>
        <w:t xml:space="preserve">Although this reading also briefly highlighted the challenges related to these methods and genres that may arise, I hope to learn more about these—including possible ethical concerns. For instance, while there are many benefits to openness, should there be ethical considerations related to monitoring/privacy or even comments that are used out of context. It would be interesting to get more insight into how potential challenges are being addressed.  </w:t>
      </w:r>
    </w:p>
    <w:p w:rsidR="00000000" w:rsidDel="00000000" w:rsidP="00000000" w:rsidRDefault="00000000" w:rsidRPr="00000000" w14:paraId="00000045">
      <w:pPr>
        <w:rPr/>
      </w:pPr>
      <w:r w:rsidDel="00000000" w:rsidR="00000000" w:rsidRPr="00000000">
        <w:rPr>
          <w:rtl w:val="0"/>
        </w:rPr>
        <w:t xml:space="preserve">—</w:t>
      </w:r>
    </w:p>
    <w:p w:rsidR="00000000" w:rsidDel="00000000" w:rsidP="00000000" w:rsidRDefault="00000000" w:rsidRPr="00000000" w14:paraId="00000046">
      <w:pPr>
        <w:shd w:fill="ffffff" w:val="clear"/>
        <w:spacing w:after="180" w:before="180" w:lineRule="auto"/>
        <w:rPr>
          <w:b w:val="1"/>
          <w:i w:val="1"/>
          <w:color w:val="2d3b45"/>
          <w:sz w:val="24"/>
          <w:szCs w:val="24"/>
        </w:rPr>
      </w:pPr>
      <w:r w:rsidDel="00000000" w:rsidR="00000000" w:rsidRPr="00000000">
        <w:rPr>
          <w:b w:val="1"/>
          <w:color w:val="2d3b45"/>
          <w:sz w:val="24"/>
          <w:szCs w:val="24"/>
          <w:rtl w:val="0"/>
        </w:rPr>
        <w:t xml:space="preserve">Discussion Leader Post: </w:t>
      </w:r>
      <w:r w:rsidDel="00000000" w:rsidR="00000000" w:rsidRPr="00000000">
        <w:rPr>
          <w:b w:val="1"/>
          <w:i w:val="1"/>
          <w:color w:val="2d3b45"/>
          <w:sz w:val="24"/>
          <w:szCs w:val="24"/>
          <w:rtl w:val="0"/>
        </w:rPr>
        <w:t xml:space="preserve">Fundamentals of Qualitative Research: A Practical Guide</w:t>
      </w:r>
    </w:p>
    <w:p w:rsidR="00000000" w:rsidDel="00000000" w:rsidP="00000000" w:rsidRDefault="00000000" w:rsidRPr="00000000" w14:paraId="00000047">
      <w:pPr>
        <w:shd w:fill="ffffff" w:val="clear"/>
        <w:spacing w:after="180" w:before="180" w:lineRule="auto"/>
        <w:rPr>
          <w:b w:val="1"/>
          <w:color w:val="2d3b45"/>
          <w:sz w:val="24"/>
          <w:szCs w:val="24"/>
        </w:rPr>
      </w:pPr>
      <w:r w:rsidDel="00000000" w:rsidR="00000000" w:rsidRPr="00000000">
        <w:rPr>
          <w:b w:val="1"/>
          <w:color w:val="2d3b45"/>
          <w:sz w:val="24"/>
          <w:szCs w:val="24"/>
          <w:rtl w:val="0"/>
        </w:rPr>
        <w:t xml:space="preserve">Chapter 3: Conceptualizing Qualitative Research</w:t>
      </w:r>
    </w:p>
    <w:p w:rsidR="00000000" w:rsidDel="00000000" w:rsidP="00000000" w:rsidRDefault="00000000" w:rsidRPr="00000000" w14:paraId="00000048">
      <w:pPr>
        <w:shd w:fill="ffffff" w:val="clear"/>
        <w:spacing w:after="180" w:before="180" w:lineRule="auto"/>
        <w:rPr>
          <w:color w:val="2d3b45"/>
          <w:sz w:val="24"/>
          <w:szCs w:val="24"/>
        </w:rPr>
      </w:pPr>
      <w:r w:rsidDel="00000000" w:rsidR="00000000" w:rsidRPr="00000000">
        <w:rPr>
          <w:color w:val="2d3b45"/>
          <w:sz w:val="24"/>
          <w:szCs w:val="24"/>
          <w:rtl w:val="0"/>
        </w:rPr>
        <w:t xml:space="preserve">In Chapter 3 of </w:t>
      </w:r>
      <w:r w:rsidDel="00000000" w:rsidR="00000000" w:rsidRPr="00000000">
        <w:rPr>
          <w:i w:val="1"/>
          <w:color w:val="2d3b45"/>
          <w:sz w:val="24"/>
          <w:szCs w:val="24"/>
          <w:rtl w:val="0"/>
        </w:rPr>
        <w:t xml:space="preserve">Fundamentals of Qualitative Research: A Practical Guide</w:t>
      </w:r>
      <w:r w:rsidDel="00000000" w:rsidR="00000000" w:rsidRPr="00000000">
        <w:rPr>
          <w:color w:val="2d3b45"/>
          <w:sz w:val="24"/>
          <w:szCs w:val="24"/>
          <w:rtl w:val="0"/>
        </w:rPr>
        <w:t xml:space="preserve">, Bhattacharya provides a brief overview discussing how qualitative research is inherently subjective, as it seeks to understand the meaning of human experiences. Being aware of our own assumptions, beliefs, and values is crucial during the research process. The author also notes the confusion that often arises between the use of terminologies from quantitative and qualitative research. For instance, bias and subjectivities are not synonymous terms. Table 3.2 (41) provides a good snapshot about questionable and acceptable words in qualitative inquiry.</w:t>
      </w:r>
    </w:p>
    <w:p w:rsidR="00000000" w:rsidDel="00000000" w:rsidP="00000000" w:rsidRDefault="00000000" w:rsidRPr="00000000" w14:paraId="00000049">
      <w:pPr>
        <w:shd w:fill="ffffff" w:val="clear"/>
        <w:spacing w:after="180" w:before="180" w:lineRule="auto"/>
        <w:rPr>
          <w:color w:val="2d3b45"/>
          <w:sz w:val="24"/>
          <w:szCs w:val="24"/>
        </w:rPr>
      </w:pPr>
      <w:r w:rsidDel="00000000" w:rsidR="00000000" w:rsidRPr="00000000">
        <w:rPr>
          <w:color w:val="2d3b45"/>
          <w:sz w:val="24"/>
          <w:szCs w:val="24"/>
          <w:rtl w:val="0"/>
        </w:rPr>
        <w:t xml:space="preserve">Bhattacharya then moves into the foundations of developing a research purpose and research questions. While this is a high-level overview, its prompts help to organize thoughts about research interests and conceptualizing key questions, including what, who, and how. Here are some highlights when thinking about a research purpose: </w:t>
      </w:r>
    </w:p>
    <w:p w:rsidR="00000000" w:rsidDel="00000000" w:rsidP="00000000" w:rsidRDefault="00000000" w:rsidRPr="00000000" w14:paraId="0000004A">
      <w:pPr>
        <w:numPr>
          <w:ilvl w:val="0"/>
          <w:numId w:val="2"/>
        </w:numPr>
        <w:shd w:fill="ffffff" w:val="clear"/>
        <w:ind w:left="1100" w:hanging="360"/>
      </w:pPr>
      <w:r w:rsidDel="00000000" w:rsidR="00000000" w:rsidRPr="00000000">
        <w:rPr>
          <w:color w:val="2d3b45"/>
          <w:sz w:val="24"/>
          <w:szCs w:val="24"/>
          <w:rtl w:val="0"/>
        </w:rPr>
        <w:t xml:space="preserve">Make it open-ended (don’t limit it to two answers)</w:t>
      </w:r>
    </w:p>
    <w:p w:rsidR="00000000" w:rsidDel="00000000" w:rsidP="00000000" w:rsidRDefault="00000000" w:rsidRPr="00000000" w14:paraId="0000004B">
      <w:pPr>
        <w:numPr>
          <w:ilvl w:val="0"/>
          <w:numId w:val="2"/>
        </w:numPr>
        <w:shd w:fill="ffffff" w:val="clear"/>
        <w:ind w:left="1100" w:hanging="360"/>
      </w:pPr>
      <w:r w:rsidDel="00000000" w:rsidR="00000000" w:rsidRPr="00000000">
        <w:rPr>
          <w:color w:val="2d3b45"/>
          <w:sz w:val="24"/>
          <w:szCs w:val="24"/>
          <w:rtl w:val="0"/>
        </w:rPr>
        <w:t xml:space="preserve">Think about an appropriate verb that reflects your intent</w:t>
      </w:r>
    </w:p>
    <w:p w:rsidR="00000000" w:rsidDel="00000000" w:rsidP="00000000" w:rsidRDefault="00000000" w:rsidRPr="00000000" w14:paraId="0000004C">
      <w:pPr>
        <w:numPr>
          <w:ilvl w:val="0"/>
          <w:numId w:val="2"/>
        </w:numPr>
        <w:shd w:fill="ffffff" w:val="clear"/>
        <w:ind w:left="1100" w:hanging="360"/>
      </w:pPr>
      <w:r w:rsidDel="00000000" w:rsidR="00000000" w:rsidRPr="00000000">
        <w:rPr>
          <w:color w:val="2d3b45"/>
          <w:sz w:val="24"/>
          <w:szCs w:val="24"/>
          <w:rtl w:val="0"/>
        </w:rPr>
        <w:t xml:space="preserve">Consider the context (how many participants, what you will explore, where will it take place)</w:t>
      </w:r>
    </w:p>
    <w:p w:rsidR="00000000" w:rsidDel="00000000" w:rsidP="00000000" w:rsidRDefault="00000000" w:rsidRPr="00000000" w14:paraId="0000004D">
      <w:pPr>
        <w:shd w:fill="ffffff" w:val="clear"/>
        <w:spacing w:after="180" w:before="180" w:lineRule="auto"/>
        <w:rPr>
          <w:color w:val="2d3b45"/>
          <w:sz w:val="24"/>
          <w:szCs w:val="24"/>
        </w:rPr>
      </w:pPr>
      <w:r w:rsidDel="00000000" w:rsidR="00000000" w:rsidRPr="00000000">
        <w:rPr>
          <w:color w:val="2d3b45"/>
          <w:sz w:val="24"/>
          <w:szCs w:val="24"/>
          <w:rtl w:val="0"/>
        </w:rPr>
        <w:t xml:space="preserve">Using the research question as a guideline will help in developing several research questions. As Bhattacharya points out, sometimes this can involve converting the purpose statement into a question format. Writing research questions also helps in breaking areas down further into deeper and sharper inquiry. </w:t>
      </w:r>
    </w:p>
    <w:p w:rsidR="00000000" w:rsidDel="00000000" w:rsidP="00000000" w:rsidRDefault="00000000" w:rsidRPr="00000000" w14:paraId="0000004E">
      <w:pPr>
        <w:shd w:fill="ffffff" w:val="clear"/>
        <w:spacing w:after="180" w:before="180" w:lineRule="auto"/>
        <w:rPr>
          <w:color w:val="2d3b45"/>
          <w:sz w:val="24"/>
          <w:szCs w:val="24"/>
        </w:rPr>
      </w:pPr>
      <w:r w:rsidDel="00000000" w:rsidR="00000000" w:rsidRPr="00000000">
        <w:rPr>
          <w:color w:val="2d3b45"/>
          <w:sz w:val="24"/>
          <w:szCs w:val="24"/>
          <w:rtl w:val="0"/>
        </w:rPr>
        <w:t xml:space="preserve">The final pages of the chapter briefly cover data sources in qualitative research. Some examples include: conversations/interview, observations, documents and archived materials, and elicitations. Bhattacharya also mentions that “almost anything can be considered data in qualitative research … sources of information that after systematic review and analysis provide you with insights that answer your research purpose and questions…” (51). </w:t>
      </w:r>
    </w:p>
    <w:p w:rsidR="00000000" w:rsidDel="00000000" w:rsidP="00000000" w:rsidRDefault="00000000" w:rsidRPr="00000000" w14:paraId="0000004F">
      <w:pPr>
        <w:shd w:fill="ffffff" w:val="clear"/>
        <w:spacing w:after="180" w:before="180" w:lineRule="auto"/>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050">
      <w:pPr>
        <w:shd w:fill="ffffff" w:val="clear"/>
        <w:spacing w:after="180" w:before="180" w:lineRule="auto"/>
        <w:rPr>
          <w:b w:val="1"/>
          <w:color w:val="2d3b45"/>
          <w:sz w:val="24"/>
          <w:szCs w:val="24"/>
        </w:rPr>
      </w:pPr>
      <w:r w:rsidDel="00000000" w:rsidR="00000000" w:rsidRPr="00000000">
        <w:rPr>
          <w:b w:val="1"/>
          <w:color w:val="2d3b45"/>
          <w:sz w:val="24"/>
          <w:szCs w:val="24"/>
          <w:rtl w:val="0"/>
        </w:rPr>
        <w:t xml:space="preserve">Chapter 4: Working with Theoretical Frameworks</w:t>
      </w:r>
    </w:p>
    <w:p w:rsidR="00000000" w:rsidDel="00000000" w:rsidP="00000000" w:rsidRDefault="00000000" w:rsidRPr="00000000" w14:paraId="00000051">
      <w:pPr>
        <w:shd w:fill="ffffff" w:val="clear"/>
        <w:spacing w:after="180" w:before="180" w:lineRule="auto"/>
        <w:rPr>
          <w:color w:val="2d3b45"/>
          <w:sz w:val="24"/>
          <w:szCs w:val="24"/>
        </w:rPr>
      </w:pPr>
      <w:r w:rsidDel="00000000" w:rsidR="00000000" w:rsidRPr="00000000">
        <w:rPr>
          <w:color w:val="2d3b45"/>
          <w:sz w:val="24"/>
          <w:szCs w:val="24"/>
          <w:rtl w:val="0"/>
        </w:rPr>
        <w:t xml:space="preserve">In this chapter, Bhattacharya explains different theoretical frameworks, the key tenets of each, and how they can be used to guide the qualitative research process. </w:t>
      </w:r>
    </w:p>
    <w:p w:rsidR="00000000" w:rsidDel="00000000" w:rsidP="00000000" w:rsidRDefault="00000000" w:rsidRPr="00000000" w14:paraId="00000052">
      <w:pPr>
        <w:shd w:fill="ffffff" w:val="clear"/>
        <w:spacing w:after="180" w:before="180" w:lineRule="auto"/>
        <w:rPr>
          <w:color w:val="2d3b45"/>
          <w:sz w:val="24"/>
          <w:szCs w:val="24"/>
        </w:rPr>
      </w:pPr>
      <w:r w:rsidDel="00000000" w:rsidR="00000000" w:rsidRPr="00000000">
        <w:rPr>
          <w:color w:val="2d3b45"/>
          <w:sz w:val="24"/>
          <w:szCs w:val="24"/>
          <w:rtl w:val="0"/>
        </w:rPr>
        <w:t xml:space="preserve">I provided a general overview of each below: </w:t>
      </w:r>
    </w:p>
    <w:p w:rsidR="00000000" w:rsidDel="00000000" w:rsidP="00000000" w:rsidRDefault="00000000" w:rsidRPr="00000000" w14:paraId="00000053">
      <w:pPr>
        <w:shd w:fill="ffffff" w:val="clear"/>
        <w:spacing w:after="180" w:before="180" w:lineRule="auto"/>
        <w:rPr>
          <w:b w:val="1"/>
          <w:color w:val="2d3b45"/>
          <w:sz w:val="24"/>
          <w:szCs w:val="24"/>
        </w:rPr>
      </w:pPr>
      <w:r w:rsidDel="00000000" w:rsidR="00000000" w:rsidRPr="00000000">
        <w:rPr>
          <w:b w:val="1"/>
          <w:color w:val="2d3b45"/>
          <w:sz w:val="24"/>
          <w:szCs w:val="24"/>
          <w:rtl w:val="0"/>
        </w:rPr>
        <w:t xml:space="preserve">Positivism and Postpositivism</w:t>
      </w:r>
    </w:p>
    <w:p w:rsidR="00000000" w:rsidDel="00000000" w:rsidP="00000000" w:rsidRDefault="00000000" w:rsidRPr="00000000" w14:paraId="00000054">
      <w:pPr>
        <w:pBdr>
          <w:left w:color="auto" w:space="30" w:sz="0" w:val="none"/>
        </w:pBdr>
        <w:shd w:fill="ffffff" w:val="clear"/>
        <w:spacing w:after="180" w:before="180" w:lineRule="auto"/>
        <w:rPr>
          <w:color w:val="2d3b45"/>
          <w:sz w:val="24"/>
          <w:szCs w:val="24"/>
        </w:rPr>
      </w:pPr>
      <w:r w:rsidDel="00000000" w:rsidR="00000000" w:rsidRPr="00000000">
        <w:rPr>
          <w:color w:val="2d3b45"/>
          <w:sz w:val="24"/>
          <w:szCs w:val="24"/>
          <w:rtl w:val="0"/>
        </w:rPr>
        <w:t xml:space="preserve">Positivism assumes that there is a single, objective reality that can be discovered through scientific methods. From the 1990s on, empirical scientific knowledge is said to be accurate which has created a binary between objective and subjective ways of knowing (58).</w:t>
      </w:r>
    </w:p>
    <w:p w:rsidR="00000000" w:rsidDel="00000000" w:rsidP="00000000" w:rsidRDefault="00000000" w:rsidRPr="00000000" w14:paraId="00000055">
      <w:pPr>
        <w:pBdr>
          <w:left w:color="auto" w:space="30" w:sz="0" w:val="none"/>
        </w:pBdr>
        <w:shd w:fill="ffffff" w:val="clear"/>
        <w:spacing w:after="180" w:before="180" w:lineRule="auto"/>
        <w:rPr>
          <w:color w:val="2d3b45"/>
          <w:sz w:val="24"/>
          <w:szCs w:val="24"/>
        </w:rPr>
      </w:pPr>
      <w:r w:rsidDel="00000000" w:rsidR="00000000" w:rsidRPr="00000000">
        <w:rPr>
          <w:color w:val="2d3b45"/>
          <w:sz w:val="24"/>
          <w:szCs w:val="24"/>
          <w:rtl w:val="0"/>
        </w:rPr>
        <w:t xml:space="preserve">Postpositivism builds on positivism but acknowledges that reality is more complex and that there is no single, objective truth. It remains open to falsification, which is used to continue testing a theory or hypothesis. (59)</w:t>
      </w:r>
    </w:p>
    <w:p w:rsidR="00000000" w:rsidDel="00000000" w:rsidP="00000000" w:rsidRDefault="00000000" w:rsidRPr="00000000" w14:paraId="00000056">
      <w:pPr>
        <w:shd w:fill="ffffff" w:val="clear"/>
        <w:spacing w:after="180" w:before="180" w:lineRule="auto"/>
        <w:rPr>
          <w:b w:val="1"/>
          <w:color w:val="2d3b45"/>
          <w:sz w:val="24"/>
          <w:szCs w:val="24"/>
        </w:rPr>
      </w:pPr>
      <w:r w:rsidDel="00000000" w:rsidR="00000000" w:rsidRPr="00000000">
        <w:rPr>
          <w:b w:val="1"/>
          <w:color w:val="2d3b45"/>
          <w:sz w:val="24"/>
          <w:szCs w:val="24"/>
          <w:rtl w:val="0"/>
        </w:rPr>
        <w:t xml:space="preserve">Interpretivism</w:t>
      </w:r>
    </w:p>
    <w:p w:rsidR="00000000" w:rsidDel="00000000" w:rsidP="00000000" w:rsidRDefault="00000000" w:rsidRPr="00000000" w14:paraId="00000057">
      <w:pPr>
        <w:pBdr>
          <w:left w:color="auto" w:space="30" w:sz="0" w:val="none"/>
        </w:pBdr>
        <w:shd w:fill="ffffff" w:val="clear"/>
        <w:spacing w:after="180" w:before="180" w:lineRule="auto"/>
        <w:rPr>
          <w:color w:val="2d3b45"/>
          <w:sz w:val="24"/>
          <w:szCs w:val="24"/>
        </w:rPr>
      </w:pPr>
      <w:r w:rsidDel="00000000" w:rsidR="00000000" w:rsidRPr="00000000">
        <w:rPr>
          <w:color w:val="2d3b45"/>
          <w:sz w:val="24"/>
          <w:szCs w:val="24"/>
          <w:rtl w:val="0"/>
        </w:rPr>
        <w:t xml:space="preserve">Interpretivism takes into account the social world of individuals and groups. Interpretivists believe that the researcher's role is to understand the meaning that people give to their experiences. Bhattacharya covers three types: symbolic interactionism, phenomenology, and hermeneutics (59).</w:t>
      </w:r>
    </w:p>
    <w:p w:rsidR="00000000" w:rsidDel="00000000" w:rsidP="00000000" w:rsidRDefault="00000000" w:rsidRPr="00000000" w14:paraId="00000058">
      <w:pPr>
        <w:shd w:fill="ffffff" w:val="clear"/>
        <w:spacing w:after="180" w:before="180" w:lineRule="auto"/>
        <w:rPr>
          <w:b w:val="1"/>
          <w:color w:val="2d3b45"/>
          <w:sz w:val="24"/>
          <w:szCs w:val="24"/>
        </w:rPr>
      </w:pPr>
      <w:r w:rsidDel="00000000" w:rsidR="00000000" w:rsidRPr="00000000">
        <w:rPr>
          <w:b w:val="1"/>
          <w:color w:val="2d3b45"/>
          <w:sz w:val="24"/>
          <w:szCs w:val="24"/>
          <w:rtl w:val="0"/>
        </w:rPr>
        <w:t xml:space="preserve">Critical theories</w:t>
      </w:r>
    </w:p>
    <w:p w:rsidR="00000000" w:rsidDel="00000000" w:rsidP="00000000" w:rsidRDefault="00000000" w:rsidRPr="00000000" w14:paraId="00000059">
      <w:pPr>
        <w:pBdr>
          <w:left w:color="auto" w:space="30" w:sz="0" w:val="none"/>
        </w:pBdr>
        <w:shd w:fill="ffffff" w:val="clear"/>
        <w:spacing w:after="180" w:before="180" w:lineRule="auto"/>
        <w:rPr>
          <w:color w:val="2d3b45"/>
          <w:sz w:val="24"/>
          <w:szCs w:val="24"/>
        </w:rPr>
      </w:pPr>
      <w:r w:rsidDel="00000000" w:rsidR="00000000" w:rsidRPr="00000000">
        <w:rPr>
          <w:color w:val="2d3b45"/>
          <w:sz w:val="24"/>
          <w:szCs w:val="24"/>
          <w:rtl w:val="0"/>
        </w:rPr>
        <w:t xml:space="preserve">Critical theories share a common focus on examining social structures of oppression that play out through the lived experiences of individuals. Oppression can be explored through something singular or through intersected categories, such as race, class, and gender (74). Critical theories are often used to challenge dominant ideologies and power structures. Bhattacharya provides an overview of both Critical Race Theory and feminism in this chapter.</w:t>
      </w:r>
    </w:p>
    <w:p w:rsidR="00000000" w:rsidDel="00000000" w:rsidP="00000000" w:rsidRDefault="00000000" w:rsidRPr="00000000" w14:paraId="0000005A">
      <w:pPr>
        <w:shd w:fill="ffffff" w:val="clear"/>
        <w:spacing w:after="180" w:before="180" w:lineRule="auto"/>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05B">
      <w:pPr>
        <w:shd w:fill="ffffff" w:val="clear"/>
        <w:spacing w:after="180" w:before="180" w:lineRule="auto"/>
        <w:rPr>
          <w:color w:val="2d3b45"/>
          <w:sz w:val="24"/>
          <w:szCs w:val="24"/>
        </w:rPr>
      </w:pPr>
      <w:r w:rsidDel="00000000" w:rsidR="00000000" w:rsidRPr="00000000">
        <w:rPr>
          <w:color w:val="2d3b45"/>
          <w:sz w:val="24"/>
          <w:szCs w:val="24"/>
          <w:rtl w:val="0"/>
        </w:rPr>
        <w:t xml:space="preserve">Both of these chapters helped with getting me to think about the research areas I’m interested in and the goals I hope to accomplish. As I start looking ahead this semester and the various research projects that will be coming up, I found it a bit overwhelming when considering different theories and how each provides a different lens to analyze research problems. Bhattacharya, in my opinion, did a nice job in breaking down a complex topic and making it more digestible. While the chapters only scratch the surface, they provide a good starting point for designing a research question, guiding the selection of relevant data, and understanding/interpreting the data. In previous research that I’ve done, I often relied on interviews or focus groups; however, the information provided by Bhattacharya now has me thinking about other opportunities. </w:t>
      </w:r>
    </w:p>
    <w:p w:rsidR="00000000" w:rsidDel="00000000" w:rsidP="00000000" w:rsidRDefault="00000000" w:rsidRPr="00000000" w14:paraId="0000005C">
      <w:pPr>
        <w:shd w:fill="ffffff" w:val="clear"/>
        <w:spacing w:before="180" w:lineRule="auto"/>
        <w:rPr>
          <w:color w:val="2d3b45"/>
          <w:sz w:val="24"/>
          <w:szCs w:val="24"/>
        </w:rPr>
      </w:pPr>
      <w:r w:rsidDel="00000000" w:rsidR="00000000" w:rsidRPr="00000000">
        <w:rPr>
          <w:color w:val="2d3b45"/>
          <w:sz w:val="24"/>
          <w:szCs w:val="24"/>
          <w:rtl w:val="0"/>
        </w:rPr>
        <w:t xml:space="preserve">Although the chapters did provide a quick list about the methodologies used by the various theories, I was hoping for more insight about which theories and methodologies are historically related or theories that may link well with multiple methodologies. For instance, critical theories have been used to varying effect with many different methodologies (both quantitative and qualitative), but it would be interesting to have more insight about how theories and methodologies are related. </w:t>
      </w:r>
    </w:p>
    <w:p w:rsidR="00000000" w:rsidDel="00000000" w:rsidP="00000000" w:rsidRDefault="00000000" w:rsidRPr="00000000" w14:paraId="0000005D">
      <w:pPr>
        <w:rPr/>
      </w:pPr>
      <w:r w:rsidDel="00000000" w:rsidR="00000000" w:rsidRPr="00000000">
        <w:rPr>
          <w:rtl w:val="0"/>
        </w:rPr>
        <w:t xml:space="preserv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Week 3: FQR Chapters 2-3, DH Section 2 </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For this week’s response in Digital_Humanities Section II, I’ve opted to place myself and some of my current/former research projects in the context of the fifteen methods and genres Burdick listed when this book was published in 2012. I see my work primarily falling into two distinct areas right now: Cultural Analytics, Aggregation, and Data-Mining, as well as Humanities Gaming (what I believe we now call ‘Game Studies’ more broadly). My Master’s Research Project involved mining the websites of First-Year Writing Programs at the fourteen public universities in Michigan for syllabi language related to disability to determine how the document ecology of various policies within higher education was impacting disabled students in achieving access in First-Year Writing courses. In a separate project now, I’ve been mining Metacritic for reviews of a specific Pokemon game and the representation of indigenous people in that game. In both of these cases I’m working with a somewhat similar variety of DH methods with data mining and attempting to draw some conclusions from what I find, not to argue anything in totality off of these datasets alone, but rather, to eke out a kind of cultural investigation into a component of a complex system. I quite like what Burdick says about this kind of analysis on page 41: “Again, the point is not to pit “close” hermeneutic readings against “distant” data mappings, but rather to appreciate the synergistic possibilities and tensions that exist between a hyper-localized, deep analysis and a macrocosmic view,” (Burdick 41). One thing that was very important to me when working on the syllabus project, in particular, was not making any claims about the overall accessibility or disability-friendliness of any given writing program, or instructor, or campus, or even campus office, but rather, to instead highlight how all of these separately moving pieces can unwittingly (or wittingly, perhaps) create barriers for students with disabilities that don’t align with what we now see as best praxis within our field. </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 </w:t>
      </w:r>
    </w:p>
    <w:p w:rsidR="00000000" w:rsidDel="00000000" w:rsidP="00000000" w:rsidRDefault="00000000" w:rsidRPr="00000000" w14:paraId="00000064">
      <w:pPr>
        <w:rPr/>
      </w:pPr>
      <w:r w:rsidDel="00000000" w:rsidR="00000000" w:rsidRPr="00000000">
        <w:rPr>
          <w:rtl w:val="0"/>
        </w:rPr>
        <w:t xml:space="preserve">—</w:t>
      </w:r>
    </w:p>
    <w:p w:rsidR="00000000" w:rsidDel="00000000" w:rsidP="00000000" w:rsidRDefault="00000000" w:rsidRPr="00000000" w14:paraId="00000065">
      <w:pPr>
        <w:rPr/>
      </w:pPr>
      <w:r w:rsidDel="00000000" w:rsidR="00000000" w:rsidRPr="00000000">
        <w:rPr>
          <w:rtl w:val="0"/>
        </w:rPr>
        <w:t xml:space="preserve">Week 3 Read &amp; Respond </w:t>
      </w:r>
    </w:p>
    <w:p w:rsidR="00000000" w:rsidDel="00000000" w:rsidP="00000000" w:rsidRDefault="00000000" w:rsidRPr="00000000" w14:paraId="00000066">
      <w:pPr>
        <w:rPr/>
      </w:pPr>
      <w:r w:rsidDel="00000000" w:rsidR="00000000" w:rsidRPr="00000000">
        <w:rPr>
          <w:rtl w:val="0"/>
        </w:rPr>
        <w:t xml:space="preserve">Fundamentals of Qualitative Research Chapters 5&amp;6</w:t>
      </w:r>
    </w:p>
    <w:p w:rsidR="00000000" w:rsidDel="00000000" w:rsidP="00000000" w:rsidRDefault="00000000" w:rsidRPr="00000000" w14:paraId="00000067">
      <w:pPr>
        <w:rPr/>
      </w:pPr>
      <w:r w:rsidDel="00000000" w:rsidR="00000000" w:rsidRPr="00000000">
        <w:rPr>
          <w:rtl w:val="0"/>
        </w:rPr>
        <w:t xml:space="preserve">Digital Humanities Section 3  </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ind w:firstLine="720"/>
        <w:rPr/>
      </w:pPr>
      <w:r w:rsidDel="00000000" w:rsidR="00000000" w:rsidRPr="00000000">
        <w:rPr>
          <w:rtl w:val="0"/>
        </w:rPr>
        <w:t xml:space="preserve">This week’s reading in </w:t>
      </w:r>
      <w:r w:rsidDel="00000000" w:rsidR="00000000" w:rsidRPr="00000000">
        <w:rPr>
          <w:i w:val="1"/>
          <w:rtl w:val="0"/>
        </w:rPr>
        <w:t xml:space="preserve">Digital_Humanities</w:t>
      </w:r>
      <w:r w:rsidDel="00000000" w:rsidR="00000000" w:rsidRPr="00000000">
        <w:rPr>
          <w:rtl w:val="0"/>
        </w:rPr>
        <w:t xml:space="preserve"> section three reminded me quite a bit of part of our discussion in class last week regarding Open Educational Resources and information literacy. Early on in section three, Burdick et al describes the once-utopian social sphere that came with the rise of open source sharing and the tension this move had against traditional models of intellectual property (pg.78). Along with that tension, however, comes significant problems of ethics. Burdick et al ask: “For if code—or any cultural product—is produced by a distributed network of sometimes unknown creators, how is it to be regulated? Who is held accountable? Who owns it?” (pg. 78). I find these questions particularly compelling in the context of open AI platforms like ChatGPT, which are based on massive databases of dubiously-sourced content, particularly when read in conjunction with the next set of questions raised a few pages later: “The question is no longer “what is an author?” but what is the author function when reshaped around the plurality of creative design, open compositional practices, and the reality of versioning?” (pg.83). There have already been a number of concerning questions about ownership and authorship of AI-created writing and artwork. Less than a month ago, a federal judge in the United States determined that AI cannot hold a copyright for a work it creates, which became a legal issue when an AI-developer attempted to transfer copyright of an artwork created by an AI model he created from the AI model to himself. Some of the discourse I’ve read about this legal decision suggest that this ruling isn’t particularly groundbreaking given that the prior status quo always was that a machine couldn’t hold a copyright to begin with, but that the inability for a creator of an AI-platform to transfer a copyright from the AI to themself does in some way help stymie slow the pace of the discussion of ethical considerations we’re seeing arise from issues of how these AI content generators were developed given that the content that the generator learned from typically was not owned or created by the programmer who created the generator. I have seen this legal ruling held up online as a ‘win’ in the context of the current SAG-AFTRA Strike because one of the brewing concerns is that media companies may attempt to produce and sell AI-generated media without compensating the artists and writers whose intellectual property was sampled for the AI to learn from. I’ve also heard some outcry from stakeholders who claim that the work of developing AI prompts and tweaking and fine-tuning the language that one feeds into them is in and of itself a sort of art that deserves recognition and compensation. </w:t>
      </w:r>
    </w:p>
    <w:p w:rsidR="00000000" w:rsidDel="00000000" w:rsidP="00000000" w:rsidRDefault="00000000" w:rsidRPr="00000000" w14:paraId="0000006A">
      <w:pPr>
        <w:ind w:firstLine="720"/>
        <w:rPr/>
      </w:pPr>
      <w:r w:rsidDel="00000000" w:rsidR="00000000" w:rsidRPr="00000000">
        <w:rPr>
          <w:rtl w:val="0"/>
        </w:rPr>
        <w:t xml:space="preserve">I find this particularly interesting to think about in the context of the early tensions between intellectual property and open access that Burdick et al described at the time Digital_Humanities was published back in 2012. I doubt the authors could have anticipated where we’d end up just a decade later, but here we are. I myself was ready to throw my hands in with support of the idea that AI-created work is theft until I considered the perspective of those AI-prompt artists, as I suppose there is something there to be argued about the rhetorical awareness and decision making that goes into being able to use a content generator like ChatGPT truly effectively. </w:t>
      </w:r>
    </w:p>
    <w:p w:rsidR="00000000" w:rsidDel="00000000" w:rsidP="00000000" w:rsidRDefault="00000000" w:rsidRPr="00000000" w14:paraId="0000006B">
      <w:pPr>
        <w:ind w:left="0" w:firstLine="720"/>
        <w:rPr/>
      </w:pPr>
      <w:r w:rsidDel="00000000" w:rsidR="00000000" w:rsidRPr="00000000">
        <w:rPr>
          <w:rtl w:val="0"/>
        </w:rPr>
        <w:t xml:space="preserve">I’ve already gone on a bit too long here, but I’d also like to give some attention to Burdick et al’s next two sets of questions: “What happens when anyone can speak and publish? What happens when knowledge credentialing is no longer controlled solely by institutions of higher learning?” and “Who can create knowledge, who monitors it, who authorizes it, who disseminates it, and whom does it influence and to what effect?” I am personally both enthralled and horrified by some of the implications here. On the one hand, going back to my training from Feminist Research Methods and the idea that research ought to be collaborative between participants and researchers and that it’s for the best to eliminate patriarchal concepts of false objectivity, part of me sees value in the idea of ‘anyone’ speaking and publishing in appropriate contexts. On the other hand, I also see critical concerns there in terms of, say, for example, bad actors or even simply those misinformed or ill-informed influencing vulnerable audiences. I am reminded of how many news sources that we see as most credible are often inaccessible due to paywalls, which is typically done to protect the rights and livelihood of the authors and presses behind that paywall, but we also see that less savory publications tend to be free and easy to access–so here we are, once again, back at that tension between intellectual property, open access, and information literacy. </w:t>
      </w:r>
    </w:p>
    <w:p w:rsidR="00000000" w:rsidDel="00000000" w:rsidP="00000000" w:rsidRDefault="00000000" w:rsidRPr="00000000" w14:paraId="0000006C">
      <w:pPr>
        <w:ind w:left="0" w:firstLine="720"/>
        <w:rPr/>
      </w:pPr>
      <w:r w:rsidDel="00000000" w:rsidR="00000000" w:rsidRPr="00000000">
        <w:rPr>
          <w:rtl w:val="0"/>
        </w:rPr>
        <w:t xml:space="preserve">In all of this I see myself circling back to one of Emily’s discussion questions from last week regarding how we weigh subjective and objective truth in conducting qualitative research, and I find I suddenly no longer know how to answer that question anymore. The only reasonable answer seems to be to be as intentional as possible when making these decisions on a case by case basis as a researcher, but that feels like a weak, cop-out sort of answer.  </w:t>
      </w:r>
    </w:p>
    <w:p w:rsidR="00000000" w:rsidDel="00000000" w:rsidP="00000000" w:rsidRDefault="00000000" w:rsidRPr="00000000" w14:paraId="0000006D">
      <w:pPr>
        <w:ind w:left="0" w:firstLine="0"/>
        <w:rPr/>
      </w:pPr>
      <w:r w:rsidDel="00000000" w:rsidR="00000000" w:rsidRPr="00000000">
        <w:rPr>
          <w:rtl w:val="0"/>
        </w:rPr>
      </w:r>
    </w:p>
    <w:p w:rsidR="00000000" w:rsidDel="00000000" w:rsidP="00000000" w:rsidRDefault="00000000" w:rsidRPr="00000000" w14:paraId="0000006E">
      <w:pPr>
        <w:ind w:left="0" w:firstLine="0"/>
        <w:rPr/>
      </w:pPr>
      <w:r w:rsidDel="00000000" w:rsidR="00000000" w:rsidRPr="00000000">
        <w:rPr>
          <w:rtl w:val="0"/>
        </w:rPr>
      </w:r>
    </w:p>
    <w:p w:rsidR="00000000" w:rsidDel="00000000" w:rsidP="00000000" w:rsidRDefault="00000000" w:rsidRPr="00000000" w14:paraId="0000006F">
      <w:pPr>
        <w:ind w:left="0" w:firstLine="0"/>
        <w:rPr/>
      </w:pPr>
      <w:r w:rsidDel="00000000" w:rsidR="00000000" w:rsidRPr="00000000">
        <w:rPr>
          <w:rtl w:val="0"/>
        </w:rPr>
        <w:t xml:space="preserve">–</w:t>
      </w:r>
    </w:p>
    <w:p w:rsidR="00000000" w:rsidDel="00000000" w:rsidP="00000000" w:rsidRDefault="00000000" w:rsidRPr="00000000" w14:paraId="00000070">
      <w:pPr>
        <w:ind w:left="0" w:firstLine="0"/>
        <w:rPr/>
      </w:pPr>
      <w:r w:rsidDel="00000000" w:rsidR="00000000" w:rsidRPr="00000000">
        <w:rPr>
          <w:rtl w:val="0"/>
        </w:rPr>
        <w:t xml:space="preserve">Week 5 - DH Section 4, FQR CH 7</w:t>
      </w:r>
    </w:p>
    <w:p w:rsidR="00000000" w:rsidDel="00000000" w:rsidP="00000000" w:rsidRDefault="00000000" w:rsidRPr="00000000" w14:paraId="00000071">
      <w:pPr>
        <w:ind w:left="0" w:firstLine="0"/>
        <w:rPr/>
      </w:pPr>
      <w:r w:rsidDel="00000000" w:rsidR="00000000" w:rsidRPr="00000000">
        <w:rPr>
          <w:rtl w:val="0"/>
        </w:rPr>
      </w:r>
    </w:p>
    <w:p w:rsidR="00000000" w:rsidDel="00000000" w:rsidP="00000000" w:rsidRDefault="00000000" w:rsidRPr="00000000" w14:paraId="00000072">
      <w:pPr>
        <w:ind w:left="0" w:firstLine="0"/>
        <w:rPr/>
      </w:pPr>
      <w:r w:rsidDel="00000000" w:rsidR="00000000" w:rsidRPr="00000000">
        <w:rPr>
          <w:rtl w:val="0"/>
        </w:rPr>
        <w:t xml:space="preserve">Once again, I’m choosing to hang out with Burdick, et al, for this week’s reading response. Particularly, what I’ve opted to do is to spend some time thinking about and responding to some of the predictions that Burdick et al make in Section 4: Provocations</w:t>
      </w:r>
    </w:p>
    <w:p w:rsidR="00000000" w:rsidDel="00000000" w:rsidP="00000000" w:rsidRDefault="00000000" w:rsidRPr="00000000" w14:paraId="00000073">
      <w:pPr>
        <w:ind w:left="0" w:firstLine="0"/>
        <w:rPr/>
      </w:pPr>
      <w:r w:rsidDel="00000000" w:rsidR="00000000" w:rsidRPr="00000000">
        <w:rPr>
          <w:rtl w:val="0"/>
        </w:rPr>
        <w:t xml:space="preserve"> </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drawing>
          <wp:anchor allowOverlap="1" behindDoc="0" distB="114300" distT="114300" distL="114300" distR="114300" hidden="0" layoutInCell="1" locked="0" relativeHeight="0" simplePos="0">
            <wp:simplePos x="0" y="0"/>
            <wp:positionH relativeFrom="page">
              <wp:posOffset>933450</wp:posOffset>
            </wp:positionH>
            <wp:positionV relativeFrom="page">
              <wp:posOffset>1028700</wp:posOffset>
            </wp:positionV>
            <wp:extent cx="5457825" cy="3076575"/>
            <wp:effectExtent b="0" l="0" r="0" t="0"/>
            <wp:wrapTopAndBottom distB="114300" distT="11430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457825" cy="3076575"/>
                    </a:xfrm>
                    <a:prstGeom prst="rect"/>
                    <a:ln/>
                  </pic:spPr>
                </pic:pic>
              </a:graphicData>
            </a:graphic>
          </wp:anchor>
        </w:drawing>
      </w:r>
      <w:r w:rsidDel="00000000" w:rsidR="00000000" w:rsidRPr="00000000">
        <w:rPr>
          <w:rtl w:val="0"/>
        </w:rPr>
        <w:t xml:space="preserve">Page 109  : details </w:t>
      </w:r>
    </w:p>
    <w:p w:rsidR="00000000" w:rsidDel="00000000" w:rsidP="00000000" w:rsidRDefault="00000000" w:rsidRPr="00000000" w14:paraId="00000076">
      <w:pPr>
        <w:rPr/>
      </w:pPr>
      <w:r w:rsidDel="00000000" w:rsidR="00000000" w:rsidRPr="00000000">
        <w:rPr>
          <w:rtl w:val="0"/>
        </w:rPr>
        <w:t xml:space="preserve">First on page 109, the above pasted quote comes back once again to our discussions of the tension between open access and intellectual property rights, which Burdick et al state clearly later on this page by announcing that in this tension, Digital Humanists will come to this forefront as large proponents of Open Access (Burdick et al, 109) while lauding the potential for large Open Access archives sourced by large-scale partnerships between multiple stakeholders including governments and universities. Given the current political state of things in Florida and the overall tension between higher education and government we’ve seen play out here, I find this to be a fairly interesting, if utopian, prediction, in the vein of ‘ahh, what could have been.’ I suppose there is some potentiality here for projects regardless. I am reminded, for example, of the work CHDR is doing in digitizing some of the old footage provided by Weeki Wachee Springs, which if I recall correctly from T&amp;T a few weeks back, is a partnership that came from either a local government or historical association initiative.</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Still yet for this aspect of Burdick et al’s prediction, I don’t feel I have a strong indication of how to solve the intellectual property / open access conversation point we’ve been having. My one thought in this regard that popped up for this week pertains to one of Ricky’s discussion questions from last week with respect to how we give credit to the creators of the open access platforms we use as creators when using things like Twine, and that is to potentially acknowledge those creators in detail the acknowledgements of any piece where it would be appropriate. In both of my MA theses (yeah, I had two, one for Creative Writing and one for Rhet/Comp) I wrote out obscenely long acknowledgements sections thanking every faculty member I vaguely crossed paths with, my mom, my cat, the local 24 hour gym, and several open-late restaurants in Ypsilanti for their contributions which, while it perhaps seems humorous, was quite a serious endeavor on my part. I know that acknowledgements can feel empty (I’m thinking back to the trend of empty native-land related acknowledgements that seemed to pop up for a few years there without serious commitment to native issues), but I suppose this is something more than nothing.     </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Pg. 118: details </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The second part of Burdick et al’s predictions I’d like to focus on and bring a little bit more locally to our First-Year Writing Program here at UCF comes from page 118, where the authors make an argument about design methods mirroring the positionality of rhetoric. The Rhet/Comp person in me would like to come out and say that I vehemently believe that rhetoric still serves as the “glue and compositional technique” of humanistic practices, and that within that umbrella of rhetoric, I’d like to specifically argue that digital design methods and the media of a given message are simply extensions of rhetoric today, as still a considerable amount of rhetorical decision making goes into choosing design methods. I’m reminded of Marshall McLuhan’s 1964 piece “The Media is the Message” where the author effectively argues for digital literacy in a context that was inherently pre-digital. The examples he attempts to use to make his claim (again, written in 1964) include lightbulbs as being nothing more than vectors for light as information – that electric light is effectively nothing but data without a bulb to show us it is there.  </w:t>
      </w:r>
    </w:p>
    <w:p w:rsidR="00000000" w:rsidDel="00000000" w:rsidP="00000000" w:rsidRDefault="00000000" w:rsidRPr="00000000" w14:paraId="0000007D">
      <w:pPr>
        <w:rPr/>
      </w:pPr>
      <w:r w:rsidDel="00000000" w:rsidR="00000000" w:rsidRPr="00000000">
        <w:rPr>
          <w:rtl w:val="0"/>
        </w:rPr>
        <w:t xml:space="preserve">In 2023, I’d like to think that we can extend this kind of thinking into the idea that the design choices we use as being essential components of the rhetorical situation.  </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In the context of our First-Year Writing Program, our programmatic assessment currently asks First-Year Students here at UCF to compile their work into an ePortfolio for their final assessments at the end of ENC 1101 and ENC 1102. I was actually on a committee over the summer where several faculty members engaged with ePortfolios and I can speak to this somewhat directly as someone who teaches in this program, too: there’s quite a bit of variation therein, however, and neither of these courses specifically has a learning outcome that outright states any notion of web design or coding should be instructed in the class. As such, it’s somewhat interesting, because the main options that faculty members choose to scaffold their ePortfolios with all involve the students creating a public-facing website to host their ePortfolios, often with Wix, Weebly, or GoogleSites. These options each provide extremely user friendly templates and virtually none of them involve the students using any code unless they want to. In the spirit of Annette Vee’s work, I’m always tempted to suggest that we lean a little bit more into the opportunities afforded to us with digital literacy in this way, although at the same time, I question when exactly I’d find the time to fit that into my already-packed semester. </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  </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369475</wp:posOffset>
            </wp:positionV>
            <wp:extent cx="5038725" cy="2600325"/>
            <wp:effectExtent b="0" l="0" r="0" t="0"/>
            <wp:wrapTopAndBottom distB="114300" distT="11430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038725" cy="2600325"/>
                    </a:xfrm>
                    <a:prstGeom prst="rect"/>
                    <a:ln/>
                  </pic:spPr>
                </pic:pic>
              </a:graphicData>
            </a:graphic>
          </wp:anchor>
        </w:drawing>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142875</wp:posOffset>
            </wp:positionH>
            <wp:positionV relativeFrom="paragraph">
              <wp:posOffset>127588</wp:posOffset>
            </wp:positionV>
            <wp:extent cx="5086350" cy="2066925"/>
            <wp:effectExtent b="0" l="0" r="0" t="0"/>
            <wp:wrapTopAndBottom distB="114300" distT="11430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086350" cy="2066925"/>
                    </a:xfrm>
                    <a:prstGeom prst="rect"/>
                    <a:ln/>
                  </pic:spPr>
                </pic:pic>
              </a:graphicData>
            </a:graphic>
          </wp:anchor>
        </w:drawing>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pStyle w:val="Heading4"/>
        <w:keepNext w:val="0"/>
        <w:keepLines w:val="0"/>
        <w:shd w:fill="ffffff" w:val="clear"/>
        <w:spacing w:after="100" w:before="100" w:line="360" w:lineRule="auto"/>
        <w:rPr>
          <w:b w:val="1"/>
          <w:color w:val="2d3b45"/>
          <w:sz w:val="27"/>
          <w:szCs w:val="27"/>
        </w:rPr>
      </w:pPr>
      <w:bookmarkStart w:colFirst="0" w:colLast="0" w:name="_jq9mk9n1p3i" w:id="0"/>
      <w:bookmarkEnd w:id="0"/>
      <w:r w:rsidDel="00000000" w:rsidR="00000000" w:rsidRPr="00000000">
        <w:rPr>
          <w:b w:val="1"/>
          <w:color w:val="2d3b45"/>
          <w:sz w:val="27"/>
          <w:szCs w:val="27"/>
          <w:rtl w:val="0"/>
        </w:rPr>
        <w:t xml:space="preserve">Discussion Leader Post: Survey Research</w:t>
      </w:r>
    </w:p>
    <w:p w:rsidR="00000000" w:rsidDel="00000000" w:rsidP="00000000" w:rsidRDefault="00000000" w:rsidRPr="00000000" w14:paraId="0000008C">
      <w:pPr>
        <w:shd w:fill="ffffff" w:val="clear"/>
        <w:spacing w:after="180" w:before="180" w:lineRule="auto"/>
        <w:rPr>
          <w:color w:val="2d3b45"/>
          <w:sz w:val="24"/>
          <w:szCs w:val="24"/>
        </w:rPr>
      </w:pPr>
      <w:r w:rsidDel="00000000" w:rsidR="00000000" w:rsidRPr="00000000">
        <w:rPr>
          <w:color w:val="2d3b45"/>
          <w:sz w:val="24"/>
          <w:szCs w:val="24"/>
          <w:rtl w:val="0"/>
        </w:rPr>
        <w:t xml:space="preserve">I thought I'd get us kicked off here with a few general notes and a preview of some of the questions I plan to bring to Wednesday's meeting. This week marks the first of several dedicated to what Vogt, Gardner, and Haeffele refer to as "design themes," with readings from </w:t>
      </w:r>
      <w:r w:rsidDel="00000000" w:rsidR="00000000" w:rsidRPr="00000000">
        <w:rPr>
          <w:i w:val="1"/>
          <w:color w:val="2d3b45"/>
          <w:sz w:val="24"/>
          <w:szCs w:val="24"/>
          <w:rtl w:val="0"/>
        </w:rPr>
        <w:t xml:space="preserve">WTUWRD </w:t>
      </w:r>
      <w:r w:rsidDel="00000000" w:rsidR="00000000" w:rsidRPr="00000000">
        <w:rPr>
          <w:color w:val="2d3b45"/>
          <w:sz w:val="24"/>
          <w:szCs w:val="24"/>
          <w:rtl w:val="0"/>
        </w:rPr>
        <w:t xml:space="preserve">and </w:t>
      </w:r>
      <w:r w:rsidDel="00000000" w:rsidR="00000000" w:rsidRPr="00000000">
        <w:rPr>
          <w:i w:val="1"/>
          <w:color w:val="2d3b45"/>
          <w:sz w:val="24"/>
          <w:szCs w:val="24"/>
          <w:rtl w:val="0"/>
        </w:rPr>
        <w:t xml:space="preserve">SRAFYD </w:t>
      </w:r>
      <w:r w:rsidDel="00000000" w:rsidR="00000000" w:rsidRPr="00000000">
        <w:rPr>
          <w:color w:val="2d3b45"/>
          <w:sz w:val="24"/>
          <w:szCs w:val="24"/>
          <w:rtl w:val="0"/>
        </w:rPr>
        <w:t xml:space="preserve">marching through every aspect of planning a study, including design, sampling, ethics, and (in the latter text) coding. Later chapters in </w:t>
      </w:r>
      <w:r w:rsidDel="00000000" w:rsidR="00000000" w:rsidRPr="00000000">
        <w:rPr>
          <w:i w:val="1"/>
          <w:color w:val="2d3b45"/>
          <w:sz w:val="24"/>
          <w:szCs w:val="24"/>
          <w:rtl w:val="0"/>
        </w:rPr>
        <w:t xml:space="preserve">SRAFYD </w:t>
      </w:r>
      <w:r w:rsidDel="00000000" w:rsidR="00000000" w:rsidRPr="00000000">
        <w:rPr>
          <w:color w:val="2d3b45"/>
          <w:sz w:val="24"/>
          <w:szCs w:val="24"/>
          <w:rtl w:val="0"/>
        </w:rPr>
        <w:t xml:space="preserve">explore analyzing and interpreting both quantitative and qualitative data as well.</w:t>
      </w:r>
    </w:p>
    <w:p w:rsidR="00000000" w:rsidDel="00000000" w:rsidP="00000000" w:rsidRDefault="00000000" w:rsidRPr="00000000" w14:paraId="0000008D">
      <w:pPr>
        <w:shd w:fill="ffffff" w:val="clear"/>
        <w:spacing w:after="180" w:before="180" w:lineRule="auto"/>
        <w:rPr>
          <w:color w:val="2d3b45"/>
          <w:sz w:val="24"/>
          <w:szCs w:val="24"/>
        </w:rPr>
      </w:pPr>
      <w:r w:rsidDel="00000000" w:rsidR="00000000" w:rsidRPr="00000000">
        <w:rPr>
          <w:color w:val="2d3b45"/>
          <w:sz w:val="24"/>
          <w:szCs w:val="24"/>
          <w:rtl w:val="0"/>
        </w:rPr>
        <w:t xml:space="preserve">In short, it seems like there is a lot of information packed into these texts for each design theme. I'll admit I completed these readings over a few different sessions and found myself getting a little overwhelmed in details, but then I kept coming back to a quote from Vogt, Gardner, and Haeffele in </w:t>
      </w:r>
      <w:r w:rsidDel="00000000" w:rsidR="00000000" w:rsidRPr="00000000">
        <w:rPr>
          <w:i w:val="1"/>
          <w:color w:val="2d3b45"/>
          <w:sz w:val="24"/>
          <w:szCs w:val="24"/>
          <w:rtl w:val="0"/>
        </w:rPr>
        <w:t xml:space="preserve">WTUWRD </w:t>
      </w:r>
      <w:r w:rsidDel="00000000" w:rsidR="00000000" w:rsidRPr="00000000">
        <w:rPr>
          <w:color w:val="2d3b45"/>
          <w:sz w:val="24"/>
          <w:szCs w:val="24"/>
          <w:rtl w:val="0"/>
        </w:rPr>
        <w:t xml:space="preserve">that I found reassuring. On p. 27, these authors write, "Life is short. Learning how to do something just in case you should want to do it someday is not the best use of your time. First decide what to use; only then is it efficient to learn how to use it." This is specifically in reference to the variety of question- and survey-types available, but it seems like a perhaps useful orientation towards these two texts as a whole. Likewise, early in </w:t>
      </w:r>
      <w:r w:rsidDel="00000000" w:rsidR="00000000" w:rsidRPr="00000000">
        <w:rPr>
          <w:i w:val="1"/>
          <w:color w:val="2d3b45"/>
          <w:sz w:val="24"/>
          <w:szCs w:val="24"/>
          <w:rtl w:val="0"/>
        </w:rPr>
        <w:t xml:space="preserve">SRAFYD</w:t>
      </w:r>
      <w:r w:rsidDel="00000000" w:rsidR="00000000" w:rsidRPr="00000000">
        <w:rPr>
          <w:color w:val="2d3b45"/>
          <w:sz w:val="24"/>
          <w:szCs w:val="24"/>
          <w:rtl w:val="0"/>
        </w:rPr>
        <w:t xml:space="preserve">, Vogt, Vogt, Gardner, and Haeffele suggest thinking about the work as akin to a tourist guidebook to a city (24); it's a starting point, a preview of where someone might dive in further, but not enough entirely on its own. Taken together, these pages helped me figure out how I think it makes sense to use these selections: they're references and previews from where I'll eventually need to dig a lot deeper if I want to deploy a particular design theme in a study.</w:t>
      </w:r>
    </w:p>
    <w:p w:rsidR="00000000" w:rsidDel="00000000" w:rsidP="00000000" w:rsidRDefault="00000000" w:rsidRPr="00000000" w14:paraId="0000008E">
      <w:pPr>
        <w:shd w:fill="ffffff" w:val="clear"/>
        <w:spacing w:after="180" w:before="180" w:lineRule="auto"/>
        <w:rPr>
          <w:color w:val="2d3b45"/>
          <w:sz w:val="24"/>
          <w:szCs w:val="24"/>
        </w:rPr>
      </w:pPr>
      <w:r w:rsidDel="00000000" w:rsidR="00000000" w:rsidRPr="00000000">
        <w:rPr>
          <w:color w:val="2d3b45"/>
          <w:sz w:val="24"/>
          <w:szCs w:val="24"/>
          <w:rtl w:val="0"/>
        </w:rPr>
        <w:t xml:space="preserve">This week's focus is on surveys, and I think two broad takeaways for me are that survey research (a) takes a lot of upfront planning and design, and (b) survey research—at least that which yields results that can be said to have some degree of validity—is quite challenging. In </w:t>
      </w:r>
      <w:r w:rsidDel="00000000" w:rsidR="00000000" w:rsidRPr="00000000">
        <w:rPr>
          <w:i w:val="1"/>
          <w:color w:val="2d3b45"/>
          <w:sz w:val="24"/>
          <w:szCs w:val="24"/>
          <w:rtl w:val="0"/>
        </w:rPr>
        <w:t xml:space="preserve">SRAFYD</w:t>
      </w:r>
      <w:r w:rsidDel="00000000" w:rsidR="00000000" w:rsidRPr="00000000">
        <w:rPr>
          <w:color w:val="2d3b45"/>
          <w:sz w:val="24"/>
          <w:szCs w:val="24"/>
          <w:rtl w:val="0"/>
        </w:rPr>
        <w:t xml:space="preserve">, the authors note that "[s]urveys are so pervasive in modern society that it is hard for people not to think that they know more than they do about what makes a good survey (Vogt, Vogt, Gardner, and Haeffele 36). I think this has probably been the case for me, and so I appreciate the challenge posed by this week's selections to think seriously and carefully about what constitutes useful, valid survey research.</w:t>
      </w:r>
    </w:p>
    <w:p w:rsidR="00000000" w:rsidDel="00000000" w:rsidP="00000000" w:rsidRDefault="00000000" w:rsidRPr="00000000" w14:paraId="0000008F">
      <w:pPr>
        <w:pStyle w:val="Heading4"/>
        <w:keepNext w:val="0"/>
        <w:keepLines w:val="0"/>
        <w:shd w:fill="ffffff" w:val="clear"/>
        <w:spacing w:after="100" w:before="100" w:line="360" w:lineRule="auto"/>
        <w:rPr>
          <w:b w:val="1"/>
          <w:color w:val="2d3b45"/>
          <w:sz w:val="27"/>
          <w:szCs w:val="27"/>
        </w:rPr>
      </w:pPr>
      <w:bookmarkStart w:colFirst="0" w:colLast="0" w:name="_ga32bar0yfa8" w:id="1"/>
      <w:bookmarkEnd w:id="1"/>
      <w:r w:rsidDel="00000000" w:rsidR="00000000" w:rsidRPr="00000000">
        <w:rPr>
          <w:b w:val="1"/>
          <w:color w:val="2d3b45"/>
          <w:sz w:val="27"/>
          <w:szCs w:val="27"/>
          <w:rtl w:val="0"/>
        </w:rPr>
        <w:t xml:space="preserve">Summary Tables</w:t>
      </w:r>
    </w:p>
    <w:p w:rsidR="00000000" w:rsidDel="00000000" w:rsidP="00000000" w:rsidRDefault="00000000" w:rsidRPr="00000000" w14:paraId="00000090">
      <w:pPr>
        <w:shd w:fill="ffffff" w:val="clear"/>
        <w:spacing w:after="180" w:before="180" w:lineRule="auto"/>
        <w:rPr>
          <w:color w:val="2d3b45"/>
          <w:sz w:val="24"/>
          <w:szCs w:val="24"/>
        </w:rPr>
      </w:pPr>
      <w:r w:rsidDel="00000000" w:rsidR="00000000" w:rsidRPr="00000000">
        <w:rPr>
          <w:color w:val="2d3b45"/>
          <w:sz w:val="24"/>
          <w:szCs w:val="24"/>
          <w:rtl w:val="0"/>
        </w:rPr>
        <w:t xml:space="preserve">Since there's a lot we might bring in here, I wanted to include in this initial post the page numbers for the "summary tables" at the end of each chapter; these follow the chapter's organization and capture the main points of discussion:</w:t>
      </w:r>
    </w:p>
    <w:p w:rsidR="00000000" w:rsidDel="00000000" w:rsidP="00000000" w:rsidRDefault="00000000" w:rsidRPr="00000000" w14:paraId="00000091">
      <w:pPr>
        <w:shd w:fill="ffffff" w:val="clear"/>
        <w:spacing w:after="180" w:before="180" w:lineRule="auto"/>
        <w:rPr>
          <w:color w:val="2d3b45"/>
          <w:sz w:val="24"/>
          <w:szCs w:val="24"/>
        </w:rPr>
      </w:pPr>
      <w:r w:rsidDel="00000000" w:rsidR="00000000" w:rsidRPr="00000000">
        <w:rPr>
          <w:b w:val="1"/>
          <w:color w:val="2d3b45"/>
          <w:sz w:val="24"/>
          <w:szCs w:val="24"/>
          <w:rtl w:val="0"/>
        </w:rPr>
        <w:t xml:space="preserve">When to Use Survey Designs </w:t>
      </w:r>
      <w:r w:rsidDel="00000000" w:rsidR="00000000" w:rsidRPr="00000000">
        <w:rPr>
          <w:color w:val="2d3b45"/>
          <w:sz w:val="24"/>
          <w:szCs w:val="24"/>
          <w:rtl w:val="0"/>
        </w:rPr>
        <w:t xml:space="preserve">- Summary Table on </w:t>
      </w:r>
      <w:r w:rsidDel="00000000" w:rsidR="00000000" w:rsidRPr="00000000">
        <w:rPr>
          <w:i w:val="1"/>
          <w:color w:val="2d3b45"/>
          <w:sz w:val="24"/>
          <w:szCs w:val="24"/>
          <w:rtl w:val="0"/>
        </w:rPr>
        <w:t xml:space="preserve">WTUWRD </w:t>
      </w:r>
      <w:r w:rsidDel="00000000" w:rsidR="00000000" w:rsidRPr="00000000">
        <w:rPr>
          <w:color w:val="2d3b45"/>
          <w:sz w:val="24"/>
          <w:szCs w:val="24"/>
          <w:rtl w:val="0"/>
        </w:rPr>
        <w:t xml:space="preserve">p. 29</w:t>
      </w:r>
    </w:p>
    <w:p w:rsidR="00000000" w:rsidDel="00000000" w:rsidP="00000000" w:rsidRDefault="00000000" w:rsidRPr="00000000" w14:paraId="00000092">
      <w:pPr>
        <w:shd w:fill="ffffff" w:val="clear"/>
        <w:spacing w:after="180" w:before="180" w:lineRule="auto"/>
        <w:rPr>
          <w:color w:val="2d3b45"/>
          <w:sz w:val="24"/>
          <w:szCs w:val="24"/>
        </w:rPr>
      </w:pPr>
      <w:r w:rsidDel="00000000" w:rsidR="00000000" w:rsidRPr="00000000">
        <w:rPr>
          <w:b w:val="1"/>
          <w:color w:val="2d3b45"/>
          <w:sz w:val="24"/>
          <w:szCs w:val="24"/>
          <w:rtl w:val="0"/>
        </w:rPr>
        <w:t xml:space="preserve">Sampling for Surveys </w:t>
      </w:r>
      <w:r w:rsidDel="00000000" w:rsidR="00000000" w:rsidRPr="00000000">
        <w:rPr>
          <w:color w:val="2d3b45"/>
          <w:sz w:val="24"/>
          <w:szCs w:val="24"/>
          <w:rtl w:val="0"/>
        </w:rPr>
        <w:t xml:space="preserve">- Summary Table on </w:t>
      </w:r>
      <w:r w:rsidDel="00000000" w:rsidR="00000000" w:rsidRPr="00000000">
        <w:rPr>
          <w:i w:val="1"/>
          <w:color w:val="2d3b45"/>
          <w:sz w:val="24"/>
          <w:szCs w:val="24"/>
          <w:rtl w:val="0"/>
        </w:rPr>
        <w:t xml:space="preserve">WTUWRD</w:t>
      </w:r>
      <w:r w:rsidDel="00000000" w:rsidR="00000000" w:rsidRPr="00000000">
        <w:rPr>
          <w:color w:val="2d3b45"/>
          <w:sz w:val="24"/>
          <w:szCs w:val="24"/>
          <w:rtl w:val="0"/>
        </w:rPr>
        <w:t xml:space="preserve"> p. 140</w:t>
      </w:r>
    </w:p>
    <w:p w:rsidR="00000000" w:rsidDel="00000000" w:rsidP="00000000" w:rsidRDefault="00000000" w:rsidRPr="00000000" w14:paraId="00000093">
      <w:pPr>
        <w:shd w:fill="ffffff" w:val="clear"/>
        <w:spacing w:after="180" w:before="180" w:lineRule="auto"/>
        <w:rPr>
          <w:color w:val="2d3b45"/>
          <w:sz w:val="24"/>
          <w:szCs w:val="24"/>
        </w:rPr>
      </w:pPr>
      <w:r w:rsidDel="00000000" w:rsidR="00000000" w:rsidRPr="00000000">
        <w:rPr>
          <w:b w:val="1"/>
          <w:color w:val="2d3b45"/>
          <w:sz w:val="24"/>
          <w:szCs w:val="24"/>
          <w:rtl w:val="0"/>
        </w:rPr>
        <w:t xml:space="preserve">Ethics in Survey Research </w:t>
      </w:r>
      <w:r w:rsidDel="00000000" w:rsidR="00000000" w:rsidRPr="00000000">
        <w:rPr>
          <w:color w:val="2d3b45"/>
          <w:sz w:val="24"/>
          <w:szCs w:val="24"/>
          <w:rtl w:val="0"/>
        </w:rPr>
        <w:t xml:space="preserve">- Summary Table on </w:t>
      </w:r>
      <w:r w:rsidDel="00000000" w:rsidR="00000000" w:rsidRPr="00000000">
        <w:rPr>
          <w:i w:val="1"/>
          <w:color w:val="2d3b45"/>
          <w:sz w:val="24"/>
          <w:szCs w:val="24"/>
          <w:rtl w:val="0"/>
        </w:rPr>
        <w:t xml:space="preserve">WTUWRD</w:t>
      </w:r>
      <w:r w:rsidDel="00000000" w:rsidR="00000000" w:rsidRPr="00000000">
        <w:rPr>
          <w:color w:val="2d3b45"/>
          <w:sz w:val="24"/>
          <w:szCs w:val="24"/>
          <w:rtl w:val="0"/>
        </w:rPr>
        <w:t xml:space="preserve"> p. 252</w:t>
      </w:r>
    </w:p>
    <w:p w:rsidR="00000000" w:rsidDel="00000000" w:rsidP="00000000" w:rsidRDefault="00000000" w:rsidRPr="00000000" w14:paraId="00000094">
      <w:pPr>
        <w:shd w:fill="ffffff" w:val="clear"/>
        <w:spacing w:after="180" w:before="180" w:lineRule="auto"/>
        <w:rPr>
          <w:color w:val="2d3b45"/>
          <w:sz w:val="24"/>
          <w:szCs w:val="24"/>
        </w:rPr>
      </w:pPr>
      <w:r w:rsidDel="00000000" w:rsidR="00000000" w:rsidRPr="00000000">
        <w:rPr>
          <w:b w:val="1"/>
          <w:color w:val="2d3b45"/>
          <w:sz w:val="24"/>
          <w:szCs w:val="24"/>
          <w:rtl w:val="0"/>
        </w:rPr>
        <w:t xml:space="preserve">Coding Survey Data </w:t>
      </w:r>
      <w:r w:rsidDel="00000000" w:rsidR="00000000" w:rsidRPr="00000000">
        <w:rPr>
          <w:color w:val="2d3b45"/>
          <w:sz w:val="24"/>
          <w:szCs w:val="24"/>
          <w:rtl w:val="0"/>
        </w:rPr>
        <w:t xml:space="preserve">- Summary Table on </w:t>
      </w:r>
      <w:r w:rsidDel="00000000" w:rsidR="00000000" w:rsidRPr="00000000">
        <w:rPr>
          <w:i w:val="1"/>
          <w:color w:val="2d3b45"/>
          <w:sz w:val="24"/>
          <w:szCs w:val="24"/>
          <w:rtl w:val="0"/>
        </w:rPr>
        <w:t xml:space="preserve">SRAFYD</w:t>
      </w:r>
      <w:r w:rsidDel="00000000" w:rsidR="00000000" w:rsidRPr="00000000">
        <w:rPr>
          <w:color w:val="2d3b45"/>
          <w:sz w:val="24"/>
          <w:szCs w:val="24"/>
          <w:rtl w:val="0"/>
        </w:rPr>
        <w:t xml:space="preserve"> p. 39</w:t>
      </w:r>
    </w:p>
    <w:p w:rsidR="00000000" w:rsidDel="00000000" w:rsidP="00000000" w:rsidRDefault="00000000" w:rsidRPr="00000000" w14:paraId="00000095">
      <w:pPr>
        <w:pStyle w:val="Heading4"/>
        <w:keepNext w:val="0"/>
        <w:keepLines w:val="0"/>
        <w:shd w:fill="ffffff" w:val="clear"/>
        <w:spacing w:after="100" w:before="100" w:line="360" w:lineRule="auto"/>
        <w:rPr>
          <w:b w:val="1"/>
          <w:color w:val="2d3b45"/>
          <w:sz w:val="27"/>
          <w:szCs w:val="27"/>
        </w:rPr>
      </w:pPr>
      <w:bookmarkStart w:colFirst="0" w:colLast="0" w:name="_lcru5n1cs67u" w:id="2"/>
      <w:bookmarkEnd w:id="2"/>
      <w:r w:rsidDel="00000000" w:rsidR="00000000" w:rsidRPr="00000000">
        <w:rPr>
          <w:b w:val="1"/>
          <w:color w:val="2d3b45"/>
          <w:sz w:val="27"/>
          <w:szCs w:val="27"/>
          <w:rtl w:val="0"/>
        </w:rPr>
        <w:t xml:space="preserve">Questions for Discussion</w:t>
      </w:r>
    </w:p>
    <w:p w:rsidR="00000000" w:rsidDel="00000000" w:rsidP="00000000" w:rsidRDefault="00000000" w:rsidRPr="00000000" w14:paraId="00000096">
      <w:pPr>
        <w:shd w:fill="ffffff" w:val="clear"/>
        <w:spacing w:after="180" w:before="180" w:lineRule="auto"/>
        <w:rPr>
          <w:color w:val="2d3b45"/>
          <w:sz w:val="24"/>
          <w:szCs w:val="24"/>
        </w:rPr>
      </w:pPr>
      <w:r w:rsidDel="00000000" w:rsidR="00000000" w:rsidRPr="00000000">
        <w:rPr>
          <w:color w:val="2d3b45"/>
          <w:sz w:val="24"/>
          <w:szCs w:val="24"/>
          <w:rtl w:val="0"/>
        </w:rPr>
        <w:t xml:space="preserve">Finally, I wanted to pose here a handful of the questions I plan to bring to Wednesday's meeting, just in case you get a chance to see them here and think about them ahead of the discussion then:</w:t>
      </w:r>
    </w:p>
    <w:p w:rsidR="00000000" w:rsidDel="00000000" w:rsidP="00000000" w:rsidRDefault="00000000" w:rsidRPr="00000000" w14:paraId="00000097">
      <w:pPr>
        <w:numPr>
          <w:ilvl w:val="0"/>
          <w:numId w:val="1"/>
        </w:numPr>
        <w:shd w:fill="ffffff" w:val="clear"/>
        <w:ind w:left="1100" w:hanging="360"/>
      </w:pPr>
      <w:r w:rsidDel="00000000" w:rsidR="00000000" w:rsidRPr="00000000">
        <w:rPr>
          <w:color w:val="2d3b45"/>
          <w:sz w:val="24"/>
          <w:szCs w:val="24"/>
          <w:rtl w:val="0"/>
        </w:rPr>
        <w:t xml:space="preserve">Given the quote above from Vogt, Gardner, and Haeffele about deciding what to use before learning how to use it (27), are there particular </w:t>
      </w:r>
      <w:r w:rsidDel="00000000" w:rsidR="00000000" w:rsidRPr="00000000">
        <w:rPr>
          <w:i w:val="1"/>
          <w:color w:val="2d3b45"/>
          <w:sz w:val="24"/>
          <w:szCs w:val="24"/>
          <w:rtl w:val="0"/>
        </w:rPr>
        <w:t xml:space="preserve">strategies </w:t>
      </w:r>
      <w:r w:rsidDel="00000000" w:rsidR="00000000" w:rsidRPr="00000000">
        <w:rPr>
          <w:color w:val="2d3b45"/>
          <w:sz w:val="24"/>
          <w:szCs w:val="24"/>
          <w:rtl w:val="0"/>
        </w:rPr>
        <w:t xml:space="preserve">or </w:t>
      </w:r>
      <w:r w:rsidDel="00000000" w:rsidR="00000000" w:rsidRPr="00000000">
        <w:rPr>
          <w:i w:val="1"/>
          <w:color w:val="2d3b45"/>
          <w:sz w:val="24"/>
          <w:szCs w:val="24"/>
          <w:rtl w:val="0"/>
        </w:rPr>
        <w:t xml:space="preserve">considerations</w:t>
      </w:r>
      <w:r w:rsidDel="00000000" w:rsidR="00000000" w:rsidRPr="00000000">
        <w:rPr>
          <w:color w:val="2d3b45"/>
          <w:sz w:val="24"/>
          <w:szCs w:val="24"/>
          <w:rtl w:val="0"/>
        </w:rPr>
        <w:t xml:space="preserve"> mentioned in any of this week's reading on surveys that you would like to use in your own research and thus want to learn more about? Why? How do they intersect with your own research interests or prior academic training and/or experience?</w:t>
      </w:r>
    </w:p>
    <w:p w:rsidR="00000000" w:rsidDel="00000000" w:rsidP="00000000" w:rsidRDefault="00000000" w:rsidRPr="00000000" w14:paraId="00000098">
      <w:pPr>
        <w:numPr>
          <w:ilvl w:val="0"/>
          <w:numId w:val="1"/>
        </w:numPr>
        <w:shd w:fill="ffffff" w:val="clear"/>
        <w:ind w:left="1100" w:hanging="360"/>
      </w:pPr>
      <w:r w:rsidDel="00000000" w:rsidR="00000000" w:rsidRPr="00000000">
        <w:rPr>
          <w:color w:val="2d3b45"/>
          <w:sz w:val="24"/>
          <w:szCs w:val="24"/>
          <w:rtl w:val="0"/>
        </w:rPr>
        <w:t xml:space="preserve">A theme of this week's reading could be the sheer difficulty of survey research, with sampling and question design being perhaps especially challenging. Were there any challenges that stood out to you from the reading? Have you seen the challenges reflected in any research that you have conducted yourself or reflected in scholarship that you have read/heard about?</w:t>
      </w:r>
    </w:p>
    <w:p w:rsidR="00000000" w:rsidDel="00000000" w:rsidP="00000000" w:rsidRDefault="00000000" w:rsidRPr="00000000" w14:paraId="00000099">
      <w:pPr>
        <w:numPr>
          <w:ilvl w:val="0"/>
          <w:numId w:val="1"/>
        </w:numPr>
        <w:shd w:fill="ffffff" w:val="clear"/>
        <w:ind w:left="1100" w:hanging="360"/>
      </w:pPr>
      <w:r w:rsidDel="00000000" w:rsidR="00000000" w:rsidRPr="00000000">
        <w:rPr>
          <w:color w:val="2d3b45"/>
          <w:sz w:val="24"/>
          <w:szCs w:val="24"/>
          <w:rtl w:val="0"/>
        </w:rPr>
        <w:t xml:space="preserve">Early in </w:t>
      </w:r>
      <w:r w:rsidDel="00000000" w:rsidR="00000000" w:rsidRPr="00000000">
        <w:rPr>
          <w:i w:val="1"/>
          <w:color w:val="2d3b45"/>
          <w:sz w:val="24"/>
          <w:szCs w:val="24"/>
          <w:rtl w:val="0"/>
        </w:rPr>
        <w:t xml:space="preserve">WTUWRD</w:t>
      </w:r>
      <w:r w:rsidDel="00000000" w:rsidR="00000000" w:rsidRPr="00000000">
        <w:rPr>
          <w:color w:val="2d3b45"/>
          <w:sz w:val="24"/>
          <w:szCs w:val="24"/>
          <w:rtl w:val="0"/>
        </w:rPr>
        <w:t xml:space="preserve">, the authors write, "Since all designs can be (and have been) used to generate either quantitative or qualitative data, design types are not mutually exclusive in the kind of data they can generate. Therefore, designs cannot properly be categorized according to whether they are quantitative or qualitative. All designs can be either quantitative or qualitative, or both" (Vogt, Gardner, and Haeffele 4). How does this quote resonate—or not—with anything we read in Bhattacharya's </w:t>
      </w:r>
      <w:r w:rsidDel="00000000" w:rsidR="00000000" w:rsidRPr="00000000">
        <w:rPr>
          <w:i w:val="1"/>
          <w:color w:val="2d3b45"/>
          <w:sz w:val="24"/>
          <w:szCs w:val="24"/>
          <w:rtl w:val="0"/>
        </w:rPr>
        <w:t xml:space="preserve">Fundamentals of Qualitative Research</w:t>
      </w:r>
      <w:r w:rsidDel="00000000" w:rsidR="00000000" w:rsidRPr="00000000">
        <w:rPr>
          <w:color w:val="2d3b45"/>
          <w:sz w:val="24"/>
          <w:szCs w:val="24"/>
          <w:rtl w:val="0"/>
        </w:rPr>
        <w:t xml:space="preserve">?</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w:t>
      </w:r>
    </w:p>
    <w:p w:rsidR="00000000" w:rsidDel="00000000" w:rsidP="00000000" w:rsidRDefault="00000000" w:rsidRPr="00000000" w14:paraId="0000009D">
      <w:pPr>
        <w:rPr/>
      </w:pPr>
      <w:r w:rsidDel="00000000" w:rsidR="00000000" w:rsidRPr="00000000">
        <w:rPr>
          <w:rtl w:val="0"/>
        </w:rPr>
        <w:t xml:space="preserve">Week 7:  Interview Research</w:t>
      </w:r>
    </w:p>
    <w:p w:rsidR="00000000" w:rsidDel="00000000" w:rsidP="00000000" w:rsidRDefault="00000000" w:rsidRPr="00000000" w14:paraId="0000009E">
      <w:pPr>
        <w:rPr/>
      </w:pPr>
      <w:r w:rsidDel="00000000" w:rsidR="00000000" w:rsidRPr="00000000">
        <w:rPr>
          <w:rtl w:val="0"/>
        </w:rPr>
        <w:t xml:space="preserve">Read and respond to SRAFYD Chapter 2 • Read and respond to WTUWRD Chapters 2, 8, and 14</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For this week, I’ve opted to home in on the specific regarding technological assistance in interview research. I went into this reading confident that I’d want to write all about the power dynamics of interview situations and some of the models I learned about in Feminist Research Methods, but then I got to page 56 of Selecting the Right Analyses for your Data: Quantitative, Qualitative, and Mixed Methods (Voght et al 2014), and suddenly I was reminded of our conversations about technological use. The authors state: “One must begin by saying that computer software cannot code the typical interview transcript or other texts—not yet, and not well enough, although information scientists and others keep trying to devise appropriate software.36 You have to do the coding, to think up good labels for attributes of the data. Once that is done, you have to figure out how to sort your data using those codes. You might hand-code using paper and colored pencils or highlighters. Many people begin this way or alternate between computer-generated work that is printed, then worked over by hand, and then reentered into the computer,” (Voght et al 2014, 53). This was, of course, written in 2014. I wonder considering some of the affordances with AI we have now how much of this has changed or will change in the near future. I, for one, have never coded data for any research project on paper with highlighters, but I have used Excel. I’m particularly interested in the potential opportunity for using AI to help generate transcriptions of interviews, as I know historically this was quite the labor of love. My perception of interview research is that by and large it has historically been a huge undertaking between the various required phases of this research and then managing to store the data and take it from a recording to a piece of paper before we can even begin to code. This, of course, also brings us back to our ethical questions about using technology to do this. I imagine it must be important to disclose your intentions to do this to your interview subjects particularly if you’ve sworn some kind of confidentiality to your participants and you can’t really confirm or deny that whatever software or tool you’re using to help you transcribe your data is sharing/saving your participants response data during the transcription process. </w:t>
      </w:r>
    </w:p>
    <w:p w:rsidR="00000000" w:rsidDel="00000000" w:rsidP="00000000" w:rsidRDefault="00000000" w:rsidRPr="00000000" w14:paraId="000000A1">
      <w:pPr>
        <w:rPr/>
      </w:pPr>
      <w:r w:rsidDel="00000000" w:rsidR="00000000" w:rsidRPr="00000000">
        <w:rPr>
          <w:rtl w:val="0"/>
        </w:rPr>
        <w:t xml:space="preserve">Week 8: Experimental Design </w:t>
      </w:r>
    </w:p>
    <w:p w:rsidR="00000000" w:rsidDel="00000000" w:rsidP="00000000" w:rsidRDefault="00000000" w:rsidRPr="00000000" w14:paraId="000000A2">
      <w:pPr>
        <w:rPr/>
      </w:pPr>
      <w:r w:rsidDel="00000000" w:rsidR="00000000" w:rsidRPr="00000000">
        <w:rPr>
          <w:rtl w:val="0"/>
        </w:rPr>
        <w:t xml:space="preserve">Read and respond to SRAFYD Chapter 3 • Read and respond to WTUWRD Chapters 3, 9, and 15</w:t>
      </w:r>
    </w:p>
    <w:p w:rsidR="00000000" w:rsidDel="00000000" w:rsidP="00000000" w:rsidRDefault="00000000" w:rsidRPr="00000000" w14:paraId="000000A3">
      <w:pPr>
        <w:rPr/>
      </w:pPr>
      <w:r w:rsidDel="00000000" w:rsidR="00000000" w:rsidRPr="00000000">
        <w:rPr>
          <w:rtl w:val="0"/>
        </w:rPr>
        <w:br w:type="textWrapping"/>
        <w:t xml:space="preserve">Getting a bit of a leg up on this one in light of my upcoming surgery and because this topic is ultimately a bit foreign to me as someone who sees themself distinctly not being a researcher who intends to participate in this particular form of research design. When I got to the sections about screening for outliers and missing data, I realized that the authors really meant it when they hinted on page 63 that much of this chapter would be a rehash of the earlier chapter on conducting quantitative research – a lot of this is basic statistics and math that’s a bit more advanced, so I was quite thankful for the chart on 82 that explains what some of the more complicated math (i.e., cronbach’s alpha) does even if I functionally have no experience with using that form of analysis and wouldn’t understand what that meant if I saw it in a paper I was even reading.  </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w:t>
      </w:r>
    </w:p>
    <w:p w:rsidR="00000000" w:rsidDel="00000000" w:rsidP="00000000" w:rsidRDefault="00000000" w:rsidRPr="00000000" w14:paraId="000000A6">
      <w:pPr>
        <w:spacing w:after="0" w:lineRule="auto"/>
        <w:ind w:right="-13760"/>
        <w:rPr/>
      </w:pPr>
      <w:r w:rsidDel="00000000" w:rsidR="00000000" w:rsidRPr="00000000">
        <w:rPr>
          <w:sz w:val="27"/>
          <w:szCs w:val="27"/>
          <w:shd w:fill="f2f2f2" w:val="clear"/>
          <w:rtl w:val="0"/>
        </w:rPr>
        <w:t xml:space="preserve">Read and respond to SRAFYD Chapter 4</w:t>
      </w:r>
      <w:r w:rsidDel="00000000" w:rsidR="00000000" w:rsidRPr="00000000">
        <w:rPr>
          <w:rtl w:val="0"/>
        </w:rPr>
      </w:r>
    </w:p>
    <w:p w:rsidR="00000000" w:rsidDel="00000000" w:rsidP="00000000" w:rsidRDefault="00000000" w:rsidRPr="00000000" w14:paraId="000000A7">
      <w:pPr>
        <w:spacing w:after="0" w:lineRule="auto"/>
        <w:ind w:right="-13760"/>
        <w:rPr>
          <w:sz w:val="27"/>
          <w:szCs w:val="27"/>
          <w:shd w:fill="f2f2f2" w:val="clear"/>
        </w:rPr>
      </w:pPr>
      <w:r w:rsidDel="00000000" w:rsidR="00000000" w:rsidRPr="00000000">
        <w:rPr>
          <w:rtl w:val="0"/>
        </w:rPr>
      </w:r>
    </w:p>
    <w:p w:rsidR="00000000" w:rsidDel="00000000" w:rsidP="00000000" w:rsidRDefault="00000000" w:rsidRPr="00000000" w14:paraId="000000A8">
      <w:pPr>
        <w:rPr>
          <w:sz w:val="21"/>
          <w:szCs w:val="21"/>
        </w:rPr>
      </w:pPr>
      <w:r w:rsidDel="00000000" w:rsidR="00000000" w:rsidRPr="00000000">
        <w:rPr>
          <w:sz w:val="21"/>
          <w:szCs w:val="21"/>
          <w:rtl w:val="0"/>
        </w:rPr>
        <w:t xml:space="preserve">Responding this week to SRAFYD Chapter 4, regarding Observational Research. Going into this reading, I had a bit of experience previously with ethnography and a form of research called PAR, which was glossed briefly in my MA-level Research Methods class and again briefly in the Feminist Research Methods course that I took over the summer here at UCF, but still feels quite out of reach for me in terms of grasping precisely what the method entails or what it looks like. I know that sounds unclear, so let me rephrase – unlike survey or interview, where I have a very concrete image in my head of what those research methods entail, for this method, I do not. I was particularly delighted when on page 107 the authors discuss the idea of this form of research becoming potentially ‘theory-obliterated,’ as my impression of this research method is that without a firm triangulation, observation doesn’t offer much that can be definitively spoken of. Observations by their very nature seem so subjective. I know we’ve had an ongoing conversation about subjectivity vs. objectivity in qualitative methods, but I feel myself pushing back on this variety of research design when I’ve previously been someone who is quite comfortable with subjectivity so long as the reflexivity of the researcher is forefronted. </w:t>
      </w:r>
    </w:p>
    <w:p w:rsidR="00000000" w:rsidDel="00000000" w:rsidP="00000000" w:rsidRDefault="00000000" w:rsidRPr="00000000" w14:paraId="000000A9">
      <w:pPr>
        <w:rPr>
          <w:sz w:val="21"/>
          <w:szCs w:val="21"/>
        </w:rPr>
      </w:pPr>
      <w:r w:rsidDel="00000000" w:rsidR="00000000" w:rsidRPr="00000000">
        <w:rPr>
          <w:rtl w:val="0"/>
        </w:rPr>
      </w:r>
    </w:p>
    <w:p w:rsidR="00000000" w:rsidDel="00000000" w:rsidP="00000000" w:rsidRDefault="00000000" w:rsidRPr="00000000" w14:paraId="000000AA">
      <w:pPr>
        <w:rPr>
          <w:sz w:val="21"/>
          <w:szCs w:val="21"/>
        </w:rPr>
      </w:pPr>
      <w:r w:rsidDel="00000000" w:rsidR="00000000" w:rsidRPr="00000000">
        <w:rPr>
          <w:sz w:val="21"/>
          <w:szCs w:val="21"/>
          <w:rtl w:val="0"/>
        </w:rPr>
        <w:t xml:space="preserve">An area of interest for me in this section was how, precisely, this research method can be recorded. Some of the recording styles mentioned on p.114 were obvious to me, like video recording and audio recording, but I was surprised to see drawing included. I’ve heard that there is such a thing as an artistic research deliverable (particularly coming out of MFA Programs) and I’m wondering if that has to do more with the arts tradition of research. </w:t>
      </w:r>
    </w:p>
    <w:p w:rsidR="00000000" w:rsidDel="00000000" w:rsidP="00000000" w:rsidRDefault="00000000" w:rsidRPr="00000000" w14:paraId="000000AB">
      <w:pPr>
        <w:rPr>
          <w:sz w:val="21"/>
          <w:szCs w:val="21"/>
        </w:rPr>
      </w:pPr>
      <w:r w:rsidDel="00000000" w:rsidR="00000000" w:rsidRPr="00000000">
        <w:rPr>
          <w:rtl w:val="0"/>
        </w:rPr>
      </w:r>
    </w:p>
    <w:p w:rsidR="00000000" w:rsidDel="00000000" w:rsidP="00000000" w:rsidRDefault="00000000" w:rsidRPr="00000000" w14:paraId="000000AC">
      <w:pPr>
        <w:rPr>
          <w:sz w:val="21"/>
          <w:szCs w:val="21"/>
        </w:rPr>
      </w:pPr>
      <w:r w:rsidDel="00000000" w:rsidR="00000000" w:rsidRPr="00000000">
        <w:rPr>
          <w:rtl w:val="0"/>
        </w:rPr>
      </w:r>
    </w:p>
    <w:p w:rsidR="00000000" w:rsidDel="00000000" w:rsidP="00000000" w:rsidRDefault="00000000" w:rsidRPr="00000000" w14:paraId="000000AD">
      <w:pPr>
        <w:rPr>
          <w:sz w:val="21"/>
          <w:szCs w:val="21"/>
        </w:rPr>
      </w:pPr>
      <w:r w:rsidDel="00000000" w:rsidR="00000000" w:rsidRPr="00000000">
        <w:rPr>
          <w:rtl w:val="0"/>
        </w:rPr>
      </w:r>
    </w:p>
    <w:p w:rsidR="00000000" w:rsidDel="00000000" w:rsidP="00000000" w:rsidRDefault="00000000" w:rsidRPr="00000000" w14:paraId="000000AE">
      <w:pPr>
        <w:rPr>
          <w:sz w:val="16"/>
          <w:szCs w:val="16"/>
        </w:rPr>
      </w:pPr>
      <w:r w:rsidDel="00000000" w:rsidR="00000000" w:rsidRPr="00000000">
        <w:rPr>
          <w:sz w:val="21"/>
          <w:szCs w:val="21"/>
          <w:rtl w:val="0"/>
        </w:rPr>
        <w:t xml:space="preserve">  </w:t>
      </w:r>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rFonts w:ascii="Arial" w:cs="Arial" w:eastAsia="Arial" w:hAnsi="Arial"/>
        <w:color w:val="2d3b4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2d3b4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