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hd w:fill="ffffff" w:val="clear"/>
        <w:spacing w:after="180" w:before="180" w:lineRule="auto"/>
        <w:rPr>
          <w:rFonts w:ascii="Times New Roman" w:cs="Times New Roman" w:eastAsia="Times New Roman" w:hAnsi="Times New Roman"/>
          <w:sz w:val="24"/>
          <w:szCs w:val="24"/>
          <w:u w:val="single"/>
        </w:rPr>
      </w:pPr>
      <w:r w:rsidDel="00000000" w:rsidR="00000000" w:rsidRPr="00000000">
        <w:rPr>
          <w:b w:val="1"/>
          <w:color w:val="ff00ff"/>
          <w:sz w:val="18"/>
          <w:szCs w:val="18"/>
          <w:rtl w:val="0"/>
        </w:rPr>
        <w:t xml:space="preserve">Your proposal should be 7-10 double-spaced pages using a standard format (from your discipline or if you are interdisciplinary your preferred format). Include a Works Referenced page. You can use any or all of your proposals in your final project as appropriate, so keep this in mind. </w:t>
      </w:r>
      <w:r w:rsidDel="00000000" w:rsidR="00000000" w:rsidRPr="00000000">
        <w:rPr>
          <w:rtl w:val="0"/>
        </w:rPr>
      </w:r>
    </w:p>
    <w:p w:rsidR="00000000" w:rsidDel="00000000" w:rsidP="00000000" w:rsidRDefault="00000000" w:rsidRPr="00000000" w14:paraId="00000002">
      <w:pPr>
        <w:shd w:fill="ffffff" w:val="clear"/>
        <w:spacing w:after="180" w:before="180" w:lineRule="auto"/>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Proposal: A Twine Timeline of Representational Rhetorics of Gender in Pokemon </w:t>
      </w:r>
    </w:p>
    <w:p w:rsidR="00000000" w:rsidDel="00000000" w:rsidP="00000000" w:rsidRDefault="00000000" w:rsidRPr="00000000" w14:paraId="00000003">
      <w:pPr>
        <w:shd w:fill="ffffff" w:val="clear"/>
        <w:spacing w:after="180" w:before="180" w:lineRule="auto"/>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https://veekenne.github.io/poketimeline/</w:t>
      </w:r>
    </w:p>
    <w:p w:rsidR="00000000" w:rsidDel="00000000" w:rsidP="00000000" w:rsidRDefault="00000000" w:rsidRPr="00000000" w14:paraId="00000004">
      <w:pPr>
        <w:shd w:fill="ffffff" w:val="clear"/>
        <w:spacing w:after="180" w:before="180" w:lineRule="auto"/>
        <w:rPr>
          <w:b w:val="1"/>
          <w:color w:val="ff00ff"/>
          <w:sz w:val="18"/>
          <w:szCs w:val="18"/>
        </w:rPr>
      </w:pPr>
      <w:r w:rsidDel="00000000" w:rsidR="00000000" w:rsidRPr="00000000">
        <w:rPr>
          <w:b w:val="1"/>
          <w:color w:val="ff00ff"/>
          <w:sz w:val="18"/>
          <w:szCs w:val="18"/>
          <w:rtl w:val="0"/>
        </w:rPr>
        <w:t xml:space="preserve">--topic (the more specific, the better)</w:t>
      </w:r>
    </w:p>
    <w:p w:rsidR="00000000" w:rsidDel="00000000" w:rsidP="00000000" w:rsidRDefault="00000000" w:rsidRPr="00000000" w14:paraId="00000005">
      <w:pPr>
        <w:shd w:fill="ffffff" w:val="clear"/>
        <w:spacing w:after="180" w:before="180" w:lineRule="auto"/>
        <w:rPr>
          <w:b w:val="1"/>
          <w:color w:val="ff00ff"/>
          <w:sz w:val="18"/>
          <w:szCs w:val="18"/>
        </w:rPr>
      </w:pPr>
      <w:r w:rsidDel="00000000" w:rsidR="00000000" w:rsidRPr="00000000">
        <w:rPr>
          <w:rtl w:val="0"/>
        </w:rPr>
      </w:r>
    </w:p>
    <w:p w:rsidR="00000000" w:rsidDel="00000000" w:rsidP="00000000" w:rsidRDefault="00000000" w:rsidRPr="00000000" w14:paraId="00000006">
      <w:pPr>
        <w:shd w:fill="ffffff" w:val="clear"/>
        <w:spacing w:after="180" w:before="180" w:line="240" w:lineRule="auto"/>
        <w:rPr>
          <w:b w:val="1"/>
          <w:color w:val="ff00ff"/>
          <w:sz w:val="18"/>
          <w:szCs w:val="18"/>
        </w:rPr>
      </w:pPr>
      <w:r w:rsidDel="00000000" w:rsidR="00000000" w:rsidRPr="00000000">
        <w:rPr>
          <w:b w:val="1"/>
          <w:color w:val="ff00ff"/>
          <w:sz w:val="18"/>
          <w:szCs w:val="18"/>
          <w:rtl w:val="0"/>
        </w:rPr>
        <w:t xml:space="preserve">Lit Review: </w:t>
      </w:r>
    </w:p>
    <w:p w:rsidR="00000000" w:rsidDel="00000000" w:rsidP="00000000" w:rsidRDefault="00000000" w:rsidRPr="00000000" w14:paraId="00000007">
      <w:pPr>
        <w:shd w:fill="ffffff" w:val="clear"/>
        <w:spacing w:after="180" w:before="180" w:line="240" w:lineRule="auto"/>
        <w:rPr>
          <w:b w:val="1"/>
          <w:color w:val="ff00ff"/>
          <w:sz w:val="18"/>
          <w:szCs w:val="18"/>
        </w:rPr>
      </w:pPr>
      <w:r w:rsidDel="00000000" w:rsidR="00000000" w:rsidRPr="00000000">
        <w:rPr>
          <w:b w:val="1"/>
          <w:color w:val="ff00ff"/>
          <w:sz w:val="18"/>
          <w:szCs w:val="18"/>
          <w:rtl w:val="0"/>
        </w:rPr>
        <w:t xml:space="preserve">First female video game character - Ms. PacMan 1982 </w:t>
      </w:r>
    </w:p>
    <w:p w:rsidR="00000000" w:rsidDel="00000000" w:rsidP="00000000" w:rsidRDefault="00000000" w:rsidRPr="00000000" w14:paraId="00000008">
      <w:pPr>
        <w:shd w:fill="ffffff" w:val="clear"/>
        <w:spacing w:after="180" w:before="180" w:line="240" w:lineRule="auto"/>
        <w:rPr>
          <w:b w:val="1"/>
          <w:color w:val="ff00ff"/>
          <w:sz w:val="18"/>
          <w:szCs w:val="18"/>
        </w:rPr>
      </w:pPr>
      <w:r w:rsidDel="00000000" w:rsidR="00000000" w:rsidRPr="00000000">
        <w:rPr>
          <w:b w:val="1"/>
          <w:color w:val="ff00ff"/>
          <w:sz w:val="18"/>
          <w:szCs w:val="18"/>
          <w:rtl w:val="0"/>
        </w:rPr>
        <w:t xml:space="preserve">First playable human female mainstream- Samus, Metroid, 1986 </w:t>
      </w:r>
    </w:p>
    <w:p w:rsidR="00000000" w:rsidDel="00000000" w:rsidP="00000000" w:rsidRDefault="00000000" w:rsidRPr="00000000" w14:paraId="00000009">
      <w:pPr>
        <w:shd w:fill="ffffff" w:val="clear"/>
        <w:spacing w:after="180" w:before="180" w:line="240" w:lineRule="auto"/>
        <w:rPr>
          <w:b w:val="1"/>
          <w:color w:val="ff00ff"/>
          <w:sz w:val="18"/>
          <w:szCs w:val="18"/>
        </w:rPr>
      </w:pPr>
      <w:r w:rsidDel="00000000" w:rsidR="00000000" w:rsidRPr="00000000">
        <w:rPr>
          <w:b w:val="1"/>
          <w:color w:val="ff00ff"/>
          <w:sz w:val="18"/>
          <w:szCs w:val="18"/>
          <w:rtl w:val="0"/>
        </w:rPr>
        <w:t xml:space="preserve">Lara Croft - Tomb Raider - 1996 </w:t>
      </w:r>
    </w:p>
    <w:p w:rsidR="00000000" w:rsidDel="00000000" w:rsidP="00000000" w:rsidRDefault="00000000" w:rsidRPr="00000000" w14:paraId="0000000A">
      <w:pPr>
        <w:shd w:fill="ffffff" w:val="clear"/>
        <w:spacing w:after="180" w:before="180" w:line="240" w:lineRule="auto"/>
        <w:rPr>
          <w:b w:val="1"/>
          <w:color w:val="ff00ff"/>
          <w:sz w:val="18"/>
          <w:szCs w:val="18"/>
        </w:rPr>
      </w:pPr>
      <w:r w:rsidDel="00000000" w:rsidR="00000000" w:rsidRPr="00000000">
        <w:rPr>
          <w:b w:val="1"/>
          <w:color w:val="ff00ff"/>
          <w:sz w:val="18"/>
          <w:szCs w:val="18"/>
          <w:rtl w:val="0"/>
        </w:rPr>
        <w:t xml:space="preserve">2013 - The Last of Us and Bioshock </w:t>
      </w:r>
    </w:p>
    <w:p w:rsidR="00000000" w:rsidDel="00000000" w:rsidP="00000000" w:rsidRDefault="00000000" w:rsidRPr="00000000" w14:paraId="0000000B">
      <w:pPr>
        <w:spacing w:line="240" w:lineRule="auto"/>
        <w:ind w:firstLine="720"/>
        <w:rPr>
          <w:rFonts w:ascii="Times New Roman" w:cs="Times New Roman" w:eastAsia="Times New Roman" w:hAnsi="Times New Roman"/>
          <w:sz w:val="24"/>
          <w:szCs w:val="24"/>
          <w:shd w:fill="fff2cc" w:val="clear"/>
        </w:rPr>
      </w:pPr>
      <w:r w:rsidDel="00000000" w:rsidR="00000000" w:rsidRPr="00000000">
        <w:rPr>
          <w:rFonts w:ascii="Times New Roman" w:cs="Times New Roman" w:eastAsia="Times New Roman" w:hAnsi="Times New Roman"/>
          <w:sz w:val="24"/>
          <w:szCs w:val="24"/>
          <w:shd w:fill="fff2cc" w:val="clear"/>
          <w:rtl w:val="0"/>
        </w:rPr>
        <w:t xml:space="preserve">Across twenty-six years and nine generations of Pokémon, the procedural formula for the main series Pokémon games has remained relatively consistent. The player, a ten-year-old silent protagonist, goes on some sort of a journey to meet, train, battle and collect as many Pokémon as possible. The story starts at home, literally at the player’s mom’s house, in their hometown or a place they’ve just moved to. The player begins with one Pokémon partner, a ‘starter,’ which coincidentally has a significantly higher chance of being male than female. The player is then tasked with completing a Pokedex and a structured, sequential set of challenges along the way. The player always has a rival character and at least one friend. They are always guided by a Professor, a respected researcher of Pokémon in the region and frequently aided by Nurse Joy, a pink-haired, floofy dress-wearing medical assistant character. Along the journey, the player inevitably takes down some variety of nefarious element (ranging from a criminal enterprise to apocalyptic cultists) and befriends the exceptionally rare Legendary Pokémon (at times, the literal gods) of the region. The main plot of the game typically ends when the player completes the set of sequential challenges, which culminates in them becoming the Pokémon Champion of the region. The player then returns home a hero and continues to explore the region at will. </w:t>
      </w:r>
    </w:p>
    <w:p w:rsidR="00000000" w:rsidDel="00000000" w:rsidP="00000000" w:rsidRDefault="00000000" w:rsidRPr="00000000" w14:paraId="0000000C">
      <w:pPr>
        <w:spacing w:line="240" w:lineRule="auto"/>
        <w:ind w:firstLine="720"/>
        <w:rPr>
          <w:rFonts w:ascii="Times New Roman" w:cs="Times New Roman" w:eastAsia="Times New Roman" w:hAnsi="Times New Roman"/>
          <w:sz w:val="24"/>
          <w:szCs w:val="24"/>
          <w:shd w:fill="fff2cc" w:val="clear"/>
        </w:rPr>
      </w:pPr>
      <w:r w:rsidDel="00000000" w:rsidR="00000000" w:rsidRPr="00000000">
        <w:rPr>
          <w:rFonts w:ascii="Times New Roman" w:cs="Times New Roman" w:eastAsia="Times New Roman" w:hAnsi="Times New Roman"/>
          <w:sz w:val="24"/>
          <w:szCs w:val="24"/>
          <w:shd w:fill="fff2cc" w:val="clear"/>
          <w:rtl w:val="0"/>
        </w:rPr>
        <w:t xml:space="preserve">Boghost’s concept that games map onto reality… </w:t>
      </w:r>
    </w:p>
    <w:p w:rsidR="00000000" w:rsidDel="00000000" w:rsidP="00000000" w:rsidRDefault="00000000" w:rsidRPr="00000000" w14:paraId="0000000D">
      <w:pPr>
        <w:spacing w:line="240" w:lineRule="auto"/>
        <w:ind w:firstLine="720"/>
        <w:rPr>
          <w:rFonts w:ascii="Times New Roman" w:cs="Times New Roman" w:eastAsia="Times New Roman" w:hAnsi="Times New Roman"/>
          <w:sz w:val="24"/>
          <w:szCs w:val="24"/>
          <w:shd w:fill="fff2cc" w:val="clear"/>
        </w:rPr>
      </w:pPr>
      <w:r w:rsidDel="00000000" w:rsidR="00000000" w:rsidRPr="00000000">
        <w:rPr>
          <w:rFonts w:ascii="Times New Roman" w:cs="Times New Roman" w:eastAsia="Times New Roman" w:hAnsi="Times New Roman"/>
          <w:sz w:val="24"/>
          <w:szCs w:val="24"/>
          <w:shd w:fill="fff2cc" w:val="clear"/>
          <w:rtl w:val="0"/>
        </w:rPr>
        <w:t xml:space="preserve">As Bogost argues in </w:t>
      </w:r>
      <w:r w:rsidDel="00000000" w:rsidR="00000000" w:rsidRPr="00000000">
        <w:rPr>
          <w:rFonts w:ascii="Times New Roman" w:cs="Times New Roman" w:eastAsia="Times New Roman" w:hAnsi="Times New Roman"/>
          <w:i w:val="1"/>
          <w:sz w:val="24"/>
          <w:szCs w:val="24"/>
          <w:shd w:fill="fff2cc" w:val="clear"/>
          <w:rtl w:val="0"/>
        </w:rPr>
        <w:t xml:space="preserve">The Rhetoric of Video Games</w:t>
      </w:r>
      <w:r w:rsidDel="00000000" w:rsidR="00000000" w:rsidRPr="00000000">
        <w:rPr>
          <w:rFonts w:ascii="Times New Roman" w:cs="Times New Roman" w:eastAsia="Times New Roman" w:hAnsi="Times New Roman"/>
          <w:sz w:val="24"/>
          <w:szCs w:val="24"/>
          <w:shd w:fill="fff2cc" w:val="clear"/>
          <w:rtl w:val="0"/>
        </w:rPr>
        <w:t xml:space="preserve">, video games will bear the biases of their creators and can help shed light on ideological biases (Bogost 128). The typical procedure of Pokémon games constitute Bogost’s concept of procedural rhetoric, or arguments authored through process (Bogost 125). Through the process of the player’s Pokémon journey, an argument is made for the player as an unequivocal ‘good guy’. </w:t>
      </w:r>
    </w:p>
    <w:p w:rsidR="00000000" w:rsidDel="00000000" w:rsidP="00000000" w:rsidRDefault="00000000" w:rsidRPr="00000000" w14:paraId="0000000E">
      <w:pPr>
        <w:spacing w:line="240" w:lineRule="auto"/>
        <w:ind w:firstLine="720"/>
        <w:rPr>
          <w:rFonts w:ascii="Times New Roman" w:cs="Times New Roman" w:eastAsia="Times New Roman" w:hAnsi="Times New Roman"/>
          <w:sz w:val="24"/>
          <w:szCs w:val="24"/>
          <w:shd w:fill="fff2cc" w:val="clear"/>
        </w:rPr>
      </w:pPr>
      <w:r w:rsidDel="00000000" w:rsidR="00000000" w:rsidRPr="00000000">
        <w:rPr>
          <w:rFonts w:ascii="Times New Roman" w:cs="Times New Roman" w:eastAsia="Times New Roman" w:hAnsi="Times New Roman"/>
          <w:sz w:val="24"/>
          <w:szCs w:val="24"/>
          <w:shd w:fill="fff2cc" w:val="clear"/>
          <w:rtl w:val="0"/>
        </w:rPr>
        <w:t xml:space="preserve">Much work has been done to support a postcolonial and otherwise critical reading of the Pokémon franchise. Bainbridge wrote of the franchise in the context of environmentalism, stating that: “Pokémon intertexts have produced transmedia storytelling that informs and reflects upon larger issues of environmentalism, biodiversity and materialism,” (Bainbridge, 2014). While Bainbridge’s analysis primarily focuses on the Pokémon film franchise in lieu of the games, the context of the franchise and environmentalism remains relevant to a postcolonial exploration of </w:t>
      </w:r>
      <w:r w:rsidDel="00000000" w:rsidR="00000000" w:rsidRPr="00000000">
        <w:rPr>
          <w:rFonts w:ascii="Times New Roman" w:cs="Times New Roman" w:eastAsia="Times New Roman" w:hAnsi="Times New Roman"/>
          <w:i w:val="1"/>
          <w:sz w:val="24"/>
          <w:szCs w:val="24"/>
          <w:shd w:fill="fff2cc" w:val="clear"/>
          <w:rtl w:val="0"/>
        </w:rPr>
        <w:t xml:space="preserve">Arceus</w:t>
      </w:r>
      <w:r w:rsidDel="00000000" w:rsidR="00000000" w:rsidRPr="00000000">
        <w:rPr>
          <w:rFonts w:ascii="Times New Roman" w:cs="Times New Roman" w:eastAsia="Times New Roman" w:hAnsi="Times New Roman"/>
          <w:sz w:val="24"/>
          <w:szCs w:val="24"/>
          <w:shd w:fill="fff2cc" w:val="clear"/>
          <w:rtl w:val="0"/>
        </w:rPr>
        <w:t xml:space="preserve">.   </w:t>
      </w:r>
    </w:p>
    <w:p w:rsidR="00000000" w:rsidDel="00000000" w:rsidP="00000000" w:rsidRDefault="00000000" w:rsidRPr="00000000" w14:paraId="0000000F">
      <w:pPr>
        <w:spacing w:line="240" w:lineRule="auto"/>
        <w:ind w:firstLine="720"/>
        <w:rPr>
          <w:rFonts w:ascii="Times New Roman" w:cs="Times New Roman" w:eastAsia="Times New Roman" w:hAnsi="Times New Roman"/>
          <w:sz w:val="24"/>
          <w:szCs w:val="24"/>
          <w:shd w:fill="fff2cc" w:val="clear"/>
        </w:rPr>
      </w:pPr>
      <w:r w:rsidDel="00000000" w:rsidR="00000000" w:rsidRPr="00000000">
        <w:rPr>
          <w:rFonts w:ascii="Times New Roman" w:cs="Times New Roman" w:eastAsia="Times New Roman" w:hAnsi="Times New Roman"/>
          <w:sz w:val="24"/>
          <w:szCs w:val="24"/>
          <w:shd w:fill="fff2cc" w:val="clear"/>
          <w:rtl w:val="0"/>
        </w:rPr>
        <w:t xml:space="preserve">Bainbridge further states:  </w:t>
      </w:r>
    </w:p>
    <w:p w:rsidR="00000000" w:rsidDel="00000000" w:rsidP="00000000" w:rsidRDefault="00000000" w:rsidRPr="00000000" w14:paraId="00000010">
      <w:pPr>
        <w:spacing w:line="240" w:lineRule="auto"/>
        <w:ind w:left="1440" w:firstLine="0"/>
        <w:rPr>
          <w:rFonts w:ascii="Times New Roman" w:cs="Times New Roman" w:eastAsia="Times New Roman" w:hAnsi="Times New Roman"/>
          <w:sz w:val="24"/>
          <w:szCs w:val="24"/>
          <w:shd w:fill="fff2cc" w:val="clear"/>
        </w:rPr>
      </w:pPr>
      <w:r w:rsidDel="00000000" w:rsidR="00000000" w:rsidRPr="00000000">
        <w:rPr>
          <w:rFonts w:ascii="Times New Roman" w:cs="Times New Roman" w:eastAsia="Times New Roman" w:hAnsi="Times New Roman"/>
          <w:sz w:val="24"/>
          <w:szCs w:val="24"/>
          <w:shd w:fill="fff2cc" w:val="clear"/>
          <w:rtl w:val="0"/>
        </w:rPr>
        <w:t xml:space="preserve">“Pokémon thereby encourages reflection on the ways in which we represent, engage and contain nature. It offers ways of interacting with the natural world, not always uncritically, as demonstrated in the earlier examples from the Pokémon films. In the best tradition of vernacular theory, Pokémon therefore becomes a kind of theoretical petrie dish for testing and exploring ways of interacting with the environment and negotiating those interactions with the real, the representational, the material and the contingent,” (Bainbridge 402).</w:t>
      </w:r>
    </w:p>
    <w:p w:rsidR="00000000" w:rsidDel="00000000" w:rsidP="00000000" w:rsidRDefault="00000000" w:rsidRPr="00000000" w14:paraId="00000011">
      <w:pPr>
        <w:spacing w:line="240" w:lineRule="auto"/>
        <w:ind w:firstLine="720"/>
        <w:rPr>
          <w:rFonts w:ascii="Times New Roman" w:cs="Times New Roman" w:eastAsia="Times New Roman" w:hAnsi="Times New Roman"/>
          <w:sz w:val="24"/>
          <w:szCs w:val="24"/>
          <w:shd w:fill="fff2cc" w:val="clear"/>
        </w:rPr>
      </w:pPr>
      <w:r w:rsidDel="00000000" w:rsidR="00000000" w:rsidRPr="00000000">
        <w:rPr>
          <w:rFonts w:ascii="Times New Roman" w:cs="Times New Roman" w:eastAsia="Times New Roman" w:hAnsi="Times New Roman"/>
          <w:sz w:val="24"/>
          <w:szCs w:val="24"/>
          <w:shd w:fill="fff2cc" w:val="clear"/>
          <w:rtl w:val="0"/>
        </w:rPr>
        <w:t xml:space="preserve">Earlier releases of the Pokémon franchise had more limited avatar customization capabilities and limited players to an experience with a named-player, Red, who mapped closely onto Satoshi (or ‘Ash Ketchum’, in the United States). In these early games, players were restricted to experiencing the game as a young Japanese boy, although the retention of this Japaneseness in localization is minimal. By the time of </w:t>
      </w:r>
      <w:r w:rsidDel="00000000" w:rsidR="00000000" w:rsidRPr="00000000">
        <w:rPr>
          <w:rFonts w:ascii="Times New Roman" w:cs="Times New Roman" w:eastAsia="Times New Roman" w:hAnsi="Times New Roman"/>
          <w:i w:val="1"/>
          <w:sz w:val="24"/>
          <w:szCs w:val="24"/>
          <w:shd w:fill="fff2cc" w:val="clear"/>
          <w:rtl w:val="0"/>
        </w:rPr>
        <w:t xml:space="preserve">Arceus’</w:t>
      </w:r>
      <w:r w:rsidDel="00000000" w:rsidR="00000000" w:rsidRPr="00000000">
        <w:rPr>
          <w:rFonts w:ascii="Times New Roman" w:cs="Times New Roman" w:eastAsia="Times New Roman" w:hAnsi="Times New Roman"/>
          <w:sz w:val="24"/>
          <w:szCs w:val="24"/>
          <w:shd w:fill="fff2cc" w:val="clear"/>
          <w:rtl w:val="0"/>
        </w:rPr>
        <w:t xml:space="preserve"> release in 2022, further, avatar customization expanded to include gender, several racial phenotypes, hair textures, and colors. Thus, it becomes questionable if there is any merit whatsoever to interrogate this silent protagonist, in for example, a similar fashion to which Ricardo Quintana Vallejo (2017) examines Link, the protagonist of </w:t>
      </w:r>
      <w:r w:rsidDel="00000000" w:rsidR="00000000" w:rsidRPr="00000000">
        <w:rPr>
          <w:rFonts w:ascii="Times New Roman" w:cs="Times New Roman" w:eastAsia="Times New Roman" w:hAnsi="Times New Roman"/>
          <w:i w:val="1"/>
          <w:sz w:val="24"/>
          <w:szCs w:val="24"/>
          <w:shd w:fill="fff2cc" w:val="clear"/>
          <w:rtl w:val="0"/>
        </w:rPr>
        <w:t xml:space="preserve">Legend of Zelda: Breath of the Wild</w:t>
      </w:r>
      <w:r w:rsidDel="00000000" w:rsidR="00000000" w:rsidRPr="00000000">
        <w:rPr>
          <w:rFonts w:ascii="Times New Roman" w:cs="Times New Roman" w:eastAsia="Times New Roman" w:hAnsi="Times New Roman"/>
          <w:sz w:val="24"/>
          <w:szCs w:val="24"/>
          <w:shd w:fill="fff2cc" w:val="clear"/>
          <w:rtl w:val="0"/>
        </w:rPr>
        <w:t xml:space="preserve"> as what Hutchinson terms a ’brave young European male hero,” (Hutchinson, 2021). The protagonist of Arceus can be, within a preset variety of phenotypes, a brave young colonial hero of many possibilities. Localization, however, cannot be minimized in this discussion, particularly as it pertains to any supposed Japaneseness within the Pokémon franchise. As daCosta, Malazita, and Fontolan (2022) write, quoting Allison, references to Japanese language are largely omitted from western localizations of Pokémon so that western audiences will perceived that the product was made for them rather than imported (daCosta, 2022). These localization measures can modify scripts, perhaps significantly. There is a question of precisely what changes in localization of a game like </w:t>
      </w:r>
      <w:r w:rsidDel="00000000" w:rsidR="00000000" w:rsidRPr="00000000">
        <w:rPr>
          <w:rFonts w:ascii="Times New Roman" w:cs="Times New Roman" w:eastAsia="Times New Roman" w:hAnsi="Times New Roman"/>
          <w:i w:val="1"/>
          <w:sz w:val="24"/>
          <w:szCs w:val="24"/>
          <w:shd w:fill="fff2cc" w:val="clear"/>
          <w:rtl w:val="0"/>
        </w:rPr>
        <w:t xml:space="preserve">Arceus</w:t>
      </w:r>
      <w:r w:rsidDel="00000000" w:rsidR="00000000" w:rsidRPr="00000000">
        <w:rPr>
          <w:rFonts w:ascii="Times New Roman" w:cs="Times New Roman" w:eastAsia="Times New Roman" w:hAnsi="Times New Roman"/>
          <w:sz w:val="24"/>
          <w:szCs w:val="24"/>
          <w:shd w:fill="fff2cc" w:val="clear"/>
          <w:rtl w:val="0"/>
        </w:rPr>
        <w:t xml:space="preserve"> adds in a postcolonial reading, particularly between the sharing of digital media between Modern Japan and other colonial powers. The misadventures of the indigenous representation in Arceus, however, cannot be explained away by errors of localization and translation alone. With </w:t>
      </w:r>
      <w:hyperlink r:id="rId6">
        <w:r w:rsidDel="00000000" w:rsidR="00000000" w:rsidRPr="00000000">
          <w:rPr>
            <w:rFonts w:ascii="Times New Roman" w:cs="Times New Roman" w:eastAsia="Times New Roman" w:hAnsi="Times New Roman"/>
            <w:sz w:val="24"/>
            <w:szCs w:val="24"/>
            <w:shd w:fill="fff2cc" w:val="clear"/>
            <w:rtl w:val="0"/>
          </w:rPr>
          <w:t xml:space="preserve">(Fuller; Salter and Moulthrop, “Queer Twine and Camp”; Salter and Moulthrop, </w:t>
        </w:r>
      </w:hyperlink>
      <w:hyperlink r:id="rId7">
        <w:r w:rsidDel="00000000" w:rsidR="00000000" w:rsidRPr="00000000">
          <w:rPr>
            <w:rFonts w:ascii="Times New Roman" w:cs="Times New Roman" w:eastAsia="Times New Roman" w:hAnsi="Times New Roman"/>
            <w:i w:val="1"/>
            <w:sz w:val="24"/>
            <w:szCs w:val="24"/>
            <w:shd w:fill="fff2cc" w:val="clear"/>
            <w:rtl w:val="0"/>
          </w:rPr>
          <w:t xml:space="preserve">Twining</w:t>
        </w:r>
      </w:hyperlink>
      <w:hyperlink r:id="rId8">
        <w:r w:rsidDel="00000000" w:rsidR="00000000" w:rsidRPr="00000000">
          <w:rPr>
            <w:rFonts w:ascii="Times New Roman" w:cs="Times New Roman" w:eastAsia="Times New Roman" w:hAnsi="Times New Roman"/>
            <w:sz w:val="24"/>
            <w:szCs w:val="24"/>
            <w:shd w:fill="fff2cc" w:val="clear"/>
            <w:rtl w:val="0"/>
          </w:rPr>
          <w:t xml:space="preserve">)</w:t>
        </w:r>
      </w:hyperlink>
      <w:r w:rsidDel="00000000" w:rsidR="00000000" w:rsidRPr="00000000">
        <w:rPr>
          <w:rFonts w:ascii="Times New Roman" w:cs="Times New Roman" w:eastAsia="Times New Roman" w:hAnsi="Times New Roman"/>
          <w:sz w:val="24"/>
          <w:szCs w:val="24"/>
          <w:shd w:fill="fff2cc" w:val="clear"/>
          <w:rtl w:val="0"/>
        </w:rPr>
        <w:t xml:space="preserve">minimal and vague references to the Ainu people and mounting questions of who, if any human characters at all, are to be recognized as indigenous within </w:t>
      </w:r>
      <w:r w:rsidDel="00000000" w:rsidR="00000000" w:rsidRPr="00000000">
        <w:rPr>
          <w:rFonts w:ascii="Times New Roman" w:cs="Times New Roman" w:eastAsia="Times New Roman" w:hAnsi="Times New Roman"/>
          <w:i w:val="1"/>
          <w:sz w:val="24"/>
          <w:szCs w:val="24"/>
          <w:shd w:fill="fff2cc" w:val="clear"/>
          <w:rtl w:val="0"/>
        </w:rPr>
        <w:t xml:space="preserve">Pokémon: Legends of Arceus</w:t>
      </w:r>
      <w:r w:rsidDel="00000000" w:rsidR="00000000" w:rsidRPr="00000000">
        <w:rPr>
          <w:rFonts w:ascii="Times New Roman" w:cs="Times New Roman" w:eastAsia="Times New Roman" w:hAnsi="Times New Roman"/>
          <w:sz w:val="24"/>
          <w:szCs w:val="24"/>
          <w:shd w:fill="fff2cc" w:val="clear"/>
          <w:rtl w:val="0"/>
        </w:rPr>
        <w:t xml:space="preserve">, the game presents a troubling conundrum if it is to be examined as a ‘theoretical petrie dish,’ as Bainbridge states.    </w:t>
      </w:r>
    </w:p>
    <w:p w:rsidR="00000000" w:rsidDel="00000000" w:rsidP="00000000" w:rsidRDefault="00000000" w:rsidRPr="00000000" w14:paraId="00000012">
      <w:pPr>
        <w:spacing w:line="240" w:lineRule="auto"/>
        <w:ind w:firstLine="720"/>
        <w:rPr>
          <w:rFonts w:ascii="Times New Roman" w:cs="Times New Roman" w:eastAsia="Times New Roman" w:hAnsi="Times New Roman"/>
          <w:sz w:val="24"/>
          <w:szCs w:val="24"/>
          <w:shd w:fill="fff2cc" w:val="clear"/>
        </w:rPr>
      </w:pPr>
      <w:r w:rsidDel="00000000" w:rsidR="00000000" w:rsidRPr="00000000">
        <w:rPr>
          <w:rtl w:val="0"/>
        </w:rPr>
      </w:r>
    </w:p>
    <w:p w:rsidR="00000000" w:rsidDel="00000000" w:rsidP="00000000" w:rsidRDefault="00000000" w:rsidRPr="00000000" w14:paraId="00000013">
      <w:pPr>
        <w:spacing w:line="240" w:lineRule="auto"/>
        <w:ind w:firstLine="720"/>
        <w:rPr>
          <w:rFonts w:ascii="Times New Roman" w:cs="Times New Roman" w:eastAsia="Times New Roman" w:hAnsi="Times New Roman"/>
          <w:sz w:val="24"/>
          <w:szCs w:val="24"/>
          <w:shd w:fill="fff2cc" w:val="clear"/>
        </w:rPr>
      </w:pPr>
      <w:r w:rsidDel="00000000" w:rsidR="00000000" w:rsidRPr="00000000">
        <w:rPr>
          <w:rtl w:val="0"/>
        </w:rPr>
      </w:r>
    </w:p>
    <w:p w:rsidR="00000000" w:rsidDel="00000000" w:rsidP="00000000" w:rsidRDefault="00000000" w:rsidRPr="00000000" w14:paraId="00000014">
      <w:pPr>
        <w:spacing w:line="240" w:lineRule="auto"/>
        <w:ind w:firstLine="720"/>
        <w:rPr>
          <w:rFonts w:ascii="Times New Roman" w:cs="Times New Roman" w:eastAsia="Times New Roman" w:hAnsi="Times New Roman"/>
          <w:sz w:val="24"/>
          <w:szCs w:val="24"/>
          <w:shd w:fill="fff2cc" w:val="clear"/>
        </w:rPr>
      </w:pPr>
      <w:r w:rsidDel="00000000" w:rsidR="00000000" w:rsidRPr="00000000">
        <w:rPr>
          <w:rtl w:val="0"/>
        </w:rPr>
      </w:r>
    </w:p>
    <w:p w:rsidR="00000000" w:rsidDel="00000000" w:rsidP="00000000" w:rsidRDefault="00000000" w:rsidRPr="00000000" w14:paraId="00000015">
      <w:pPr>
        <w:spacing w:line="240" w:lineRule="auto"/>
        <w:rPr>
          <w:rFonts w:ascii="Times New Roman" w:cs="Times New Roman" w:eastAsia="Times New Roman" w:hAnsi="Times New Roman"/>
          <w:sz w:val="24"/>
          <w:szCs w:val="24"/>
          <w:shd w:fill="fff2cc" w:val="clear"/>
        </w:rPr>
      </w:pPr>
      <w:r w:rsidDel="00000000" w:rsidR="00000000" w:rsidRPr="00000000">
        <w:rPr>
          <w:rFonts w:ascii="Times New Roman" w:cs="Times New Roman" w:eastAsia="Times New Roman" w:hAnsi="Times New Roman"/>
          <w:sz w:val="24"/>
          <w:szCs w:val="24"/>
          <w:shd w:fill="fff2cc" w:val="clear"/>
          <w:rtl w:val="0"/>
        </w:rPr>
        <w:t xml:space="preserve">Here, I reframe those </w:t>
      </w:r>
      <w:r w:rsidDel="00000000" w:rsidR="00000000" w:rsidRPr="00000000">
        <w:rPr>
          <w:rFonts w:ascii="Times New Roman" w:cs="Times New Roman" w:eastAsia="Times New Roman" w:hAnsi="Times New Roman"/>
          <w:i w:val="1"/>
          <w:sz w:val="24"/>
          <w:szCs w:val="24"/>
          <w:shd w:fill="fff2cc" w:val="clear"/>
          <w:rtl w:val="0"/>
        </w:rPr>
        <w:t xml:space="preserve">‘real, representational, material, and contingent’</w:t>
      </w:r>
      <w:r w:rsidDel="00000000" w:rsidR="00000000" w:rsidRPr="00000000">
        <w:rPr>
          <w:rFonts w:ascii="Times New Roman" w:cs="Times New Roman" w:eastAsia="Times New Roman" w:hAnsi="Times New Roman"/>
          <w:sz w:val="24"/>
          <w:szCs w:val="24"/>
          <w:shd w:fill="fff2cc" w:val="clear"/>
          <w:rtl w:val="0"/>
        </w:rPr>
        <w:t xml:space="preserve"> representations as not of the ecological physical environment, but rather, the humans in the environment, both as represented by the game itself and as ascertained by players in their reviews. </w:t>
      </w:r>
    </w:p>
    <w:p w:rsidR="00000000" w:rsidDel="00000000" w:rsidP="00000000" w:rsidRDefault="00000000" w:rsidRPr="00000000" w14:paraId="00000016">
      <w:pPr>
        <w:spacing w:line="240" w:lineRule="auto"/>
        <w:ind w:firstLine="720"/>
        <w:rPr>
          <w:rFonts w:ascii="Times New Roman" w:cs="Times New Roman" w:eastAsia="Times New Roman" w:hAnsi="Times New Roman"/>
          <w:sz w:val="24"/>
          <w:szCs w:val="24"/>
          <w:shd w:fill="fff2cc" w:val="clear"/>
        </w:rPr>
      </w:pPr>
      <w:r w:rsidDel="00000000" w:rsidR="00000000" w:rsidRPr="00000000">
        <w:rPr>
          <w:rFonts w:ascii="Times New Roman" w:cs="Times New Roman" w:eastAsia="Times New Roman" w:hAnsi="Times New Roman"/>
          <w:sz w:val="24"/>
          <w:szCs w:val="24"/>
          <w:shd w:fill="fff2cc" w:val="clear"/>
          <w:rtl w:val="0"/>
        </w:rPr>
        <w:t xml:space="preserve">An additional postcolonial lens by which to perhaps interrogate Pokémon is through an examination of the silent protagonist. </w:t>
      </w:r>
    </w:p>
    <w:p w:rsidR="00000000" w:rsidDel="00000000" w:rsidP="00000000" w:rsidRDefault="00000000" w:rsidRPr="00000000" w14:paraId="00000017">
      <w:pPr>
        <w:spacing w:line="240" w:lineRule="auto"/>
        <w:ind w:firstLine="720"/>
        <w:rPr>
          <w:rFonts w:ascii="Times New Roman" w:cs="Times New Roman" w:eastAsia="Times New Roman" w:hAnsi="Times New Roman"/>
          <w:sz w:val="24"/>
          <w:szCs w:val="24"/>
          <w:shd w:fill="fff2cc" w:val="clear"/>
        </w:rPr>
      </w:pPr>
      <w:r w:rsidDel="00000000" w:rsidR="00000000" w:rsidRPr="00000000">
        <w:rPr>
          <w:rFonts w:ascii="Times New Roman" w:cs="Times New Roman" w:eastAsia="Times New Roman" w:hAnsi="Times New Roman"/>
          <w:sz w:val="24"/>
          <w:szCs w:val="24"/>
          <w:shd w:fill="fff2cc" w:val="clear"/>
          <w:rtl w:val="0"/>
        </w:rPr>
        <w:t xml:space="preserve">Earlier releases of the Pokémon franchise had more limited avatar customization capabilities and limited players to an experience with a named-player, Red, who mapped closely onto Satoshi (or ‘Ash Ketchum’, in the United States). In these early games, players were restricted to experiencing the game as a young Japanese boy, although the retention of this Japaneseness in localization is minimal. By the time of </w:t>
      </w:r>
      <w:r w:rsidDel="00000000" w:rsidR="00000000" w:rsidRPr="00000000">
        <w:rPr>
          <w:rFonts w:ascii="Times New Roman" w:cs="Times New Roman" w:eastAsia="Times New Roman" w:hAnsi="Times New Roman"/>
          <w:i w:val="1"/>
          <w:sz w:val="24"/>
          <w:szCs w:val="24"/>
          <w:shd w:fill="fff2cc" w:val="clear"/>
          <w:rtl w:val="0"/>
        </w:rPr>
        <w:t xml:space="preserve">Arceus’</w:t>
      </w:r>
      <w:r w:rsidDel="00000000" w:rsidR="00000000" w:rsidRPr="00000000">
        <w:rPr>
          <w:rFonts w:ascii="Times New Roman" w:cs="Times New Roman" w:eastAsia="Times New Roman" w:hAnsi="Times New Roman"/>
          <w:sz w:val="24"/>
          <w:szCs w:val="24"/>
          <w:shd w:fill="fff2cc" w:val="clear"/>
          <w:rtl w:val="0"/>
        </w:rPr>
        <w:t xml:space="preserve"> release in 2022, further, avatar customization expanded to include gender, several racial phenotypes, hair textures, and colors. Thus, it becomes questionable if there is any merit whatsoever to interrogate this silent protagonist, in for example, a similar fashion to which Ricardo Quintana Vallejo (2017) examines Link, the protagonist of </w:t>
      </w:r>
      <w:r w:rsidDel="00000000" w:rsidR="00000000" w:rsidRPr="00000000">
        <w:rPr>
          <w:rFonts w:ascii="Times New Roman" w:cs="Times New Roman" w:eastAsia="Times New Roman" w:hAnsi="Times New Roman"/>
          <w:i w:val="1"/>
          <w:sz w:val="24"/>
          <w:szCs w:val="24"/>
          <w:shd w:fill="fff2cc" w:val="clear"/>
          <w:rtl w:val="0"/>
        </w:rPr>
        <w:t xml:space="preserve">Legend of Zelda: Breath of the Wild</w:t>
      </w:r>
      <w:r w:rsidDel="00000000" w:rsidR="00000000" w:rsidRPr="00000000">
        <w:rPr>
          <w:rFonts w:ascii="Times New Roman" w:cs="Times New Roman" w:eastAsia="Times New Roman" w:hAnsi="Times New Roman"/>
          <w:sz w:val="24"/>
          <w:szCs w:val="24"/>
          <w:shd w:fill="fff2cc" w:val="clear"/>
          <w:rtl w:val="0"/>
        </w:rPr>
        <w:t xml:space="preserve"> as what Hutchinson terms a ’brave young European male hero,” (Hutchinson, 2021). The protagonist of Arceus can be, within a preset variety of phenotypes, a brave young colonial hero of many possibilities. Localization, however, cannot be minimized in this discussion, particularly as it pertains to any supposed Japaneseness within the Pokémon franchise. As daCosta, Malazita, and Fontolan (2022) write, quoting Allison, references to Japanese language are largely omitted from western localizations of Pokémon so that western audiences will perceived that the product was made for them rather than imported (daCosta, 2022). These localization measures can modify scripts, perhaps significantly. There is a question of precisely what changes in localization of a game like </w:t>
      </w:r>
      <w:r w:rsidDel="00000000" w:rsidR="00000000" w:rsidRPr="00000000">
        <w:rPr>
          <w:rFonts w:ascii="Times New Roman" w:cs="Times New Roman" w:eastAsia="Times New Roman" w:hAnsi="Times New Roman"/>
          <w:i w:val="1"/>
          <w:sz w:val="24"/>
          <w:szCs w:val="24"/>
          <w:shd w:fill="fff2cc" w:val="clear"/>
          <w:rtl w:val="0"/>
        </w:rPr>
        <w:t xml:space="preserve">Arceus</w:t>
      </w:r>
      <w:r w:rsidDel="00000000" w:rsidR="00000000" w:rsidRPr="00000000">
        <w:rPr>
          <w:rFonts w:ascii="Times New Roman" w:cs="Times New Roman" w:eastAsia="Times New Roman" w:hAnsi="Times New Roman"/>
          <w:sz w:val="24"/>
          <w:szCs w:val="24"/>
          <w:shd w:fill="fff2cc" w:val="clear"/>
          <w:rtl w:val="0"/>
        </w:rPr>
        <w:t xml:space="preserve"> adds in a postcolonial reading, particularly between the sharing of digital media between Modern Japan and other colonial powers. The misadventures of the indigenous representation in Arceus, however, cannot be explained away by errors of localization and translation alone. With </w:t>
      </w:r>
      <w:hyperlink r:id="rId9">
        <w:r w:rsidDel="00000000" w:rsidR="00000000" w:rsidRPr="00000000">
          <w:rPr>
            <w:rFonts w:ascii="Times New Roman" w:cs="Times New Roman" w:eastAsia="Times New Roman" w:hAnsi="Times New Roman"/>
            <w:sz w:val="24"/>
            <w:szCs w:val="24"/>
            <w:shd w:fill="fff2cc" w:val="clear"/>
            <w:vertAlign w:val="baseline"/>
            <w:rtl w:val="0"/>
          </w:rPr>
          <w:t xml:space="preserve">(Fuller; Salter and Moulthrop, “Queer Twine and Camp”; Salter and Moulthrop, </w:t>
        </w:r>
      </w:hyperlink>
      <w:hyperlink r:id="rId10">
        <w:r w:rsidDel="00000000" w:rsidR="00000000" w:rsidRPr="00000000">
          <w:rPr>
            <w:rFonts w:ascii="Times New Roman" w:cs="Times New Roman" w:eastAsia="Times New Roman" w:hAnsi="Times New Roman"/>
            <w:i w:val="1"/>
            <w:sz w:val="24"/>
            <w:szCs w:val="24"/>
            <w:shd w:fill="fff2cc" w:val="clear"/>
            <w:vertAlign w:val="baseline"/>
            <w:rtl w:val="0"/>
          </w:rPr>
          <w:t xml:space="preserve">Twining</w:t>
        </w:r>
      </w:hyperlink>
      <w:hyperlink r:id="rId11">
        <w:r w:rsidDel="00000000" w:rsidR="00000000" w:rsidRPr="00000000">
          <w:rPr>
            <w:rFonts w:ascii="Times New Roman" w:cs="Times New Roman" w:eastAsia="Times New Roman" w:hAnsi="Times New Roman"/>
            <w:sz w:val="24"/>
            <w:szCs w:val="24"/>
            <w:shd w:fill="fff2cc" w:val="clear"/>
            <w:vertAlign w:val="baseline"/>
            <w:rtl w:val="0"/>
          </w:rPr>
          <w:t xml:space="preserve">)</w:t>
        </w:r>
      </w:hyperlink>
      <w:r w:rsidDel="00000000" w:rsidR="00000000" w:rsidRPr="00000000">
        <w:rPr>
          <w:rFonts w:ascii="Times New Roman" w:cs="Times New Roman" w:eastAsia="Times New Roman" w:hAnsi="Times New Roman"/>
          <w:sz w:val="24"/>
          <w:szCs w:val="24"/>
          <w:shd w:fill="fff2cc" w:val="clear"/>
          <w:rtl w:val="0"/>
        </w:rPr>
        <w:t xml:space="preserve">minimal and vague references to the Ainu people and mounting questions of who, if any human characters at all, are to be recognized as indigenous within </w:t>
      </w:r>
      <w:r w:rsidDel="00000000" w:rsidR="00000000" w:rsidRPr="00000000">
        <w:rPr>
          <w:rFonts w:ascii="Times New Roman" w:cs="Times New Roman" w:eastAsia="Times New Roman" w:hAnsi="Times New Roman"/>
          <w:i w:val="1"/>
          <w:sz w:val="24"/>
          <w:szCs w:val="24"/>
          <w:shd w:fill="fff2cc" w:val="clear"/>
          <w:rtl w:val="0"/>
        </w:rPr>
        <w:t xml:space="preserve">Pokémon: Legends of Arceus</w:t>
      </w:r>
      <w:r w:rsidDel="00000000" w:rsidR="00000000" w:rsidRPr="00000000">
        <w:rPr>
          <w:rFonts w:ascii="Times New Roman" w:cs="Times New Roman" w:eastAsia="Times New Roman" w:hAnsi="Times New Roman"/>
          <w:sz w:val="24"/>
          <w:szCs w:val="24"/>
          <w:shd w:fill="fff2cc" w:val="clear"/>
          <w:rtl w:val="0"/>
        </w:rPr>
        <w:t xml:space="preserve">, the game presents a troubling conundrum if it is to be examined as a ‘theoretical petrie dish,’ as Bainbridge states.    </w:t>
      </w:r>
    </w:p>
    <w:p w:rsidR="00000000" w:rsidDel="00000000" w:rsidP="00000000" w:rsidRDefault="00000000" w:rsidRPr="00000000" w14:paraId="00000018">
      <w:pPr>
        <w:spacing w:line="240" w:lineRule="auto"/>
        <w:ind w:firstLine="720"/>
        <w:rPr>
          <w:rFonts w:ascii="Times New Roman" w:cs="Times New Roman" w:eastAsia="Times New Roman" w:hAnsi="Times New Roman"/>
          <w:sz w:val="24"/>
          <w:szCs w:val="24"/>
          <w:shd w:fill="fff2cc" w:val="clear"/>
        </w:rPr>
      </w:pPr>
      <w:r w:rsidDel="00000000" w:rsidR="00000000" w:rsidRPr="00000000">
        <w:rPr>
          <w:rtl w:val="0"/>
        </w:rPr>
      </w:r>
    </w:p>
    <w:p w:rsidR="00000000" w:rsidDel="00000000" w:rsidP="00000000" w:rsidRDefault="00000000" w:rsidRPr="00000000" w14:paraId="00000019">
      <w:pPr>
        <w:shd w:fill="ffffff" w:val="clear"/>
        <w:spacing w:after="180" w:before="180" w:lineRule="auto"/>
        <w:jc w:val="center"/>
        <w:rPr>
          <w:rFonts w:ascii="Times New Roman" w:cs="Times New Roman" w:eastAsia="Times New Roman" w:hAnsi="Times New Roman"/>
          <w:color w:val="2d3b45"/>
          <w:sz w:val="24"/>
          <w:szCs w:val="24"/>
          <w:u w:val="single"/>
          <w:shd w:fill="fff2cc" w:val="clear"/>
        </w:rPr>
      </w:pPr>
      <w:r w:rsidDel="00000000" w:rsidR="00000000" w:rsidRPr="00000000">
        <w:rPr>
          <w:rtl w:val="0"/>
        </w:rPr>
      </w:r>
    </w:p>
    <w:p w:rsidR="00000000" w:rsidDel="00000000" w:rsidP="00000000" w:rsidRDefault="00000000" w:rsidRPr="00000000" w14:paraId="0000001A">
      <w:pPr>
        <w:shd w:fill="ffffff" w:val="clear"/>
        <w:spacing w:after="180" w:before="180" w:lineRule="auto"/>
        <w:jc w:val="center"/>
        <w:rPr>
          <w:rFonts w:ascii="Times New Roman" w:cs="Times New Roman" w:eastAsia="Times New Roman" w:hAnsi="Times New Roman"/>
          <w:color w:val="2d3b45"/>
          <w:sz w:val="24"/>
          <w:szCs w:val="24"/>
          <w:u w:val="single"/>
        </w:rPr>
      </w:pPr>
      <w:hyperlink r:id="rId12">
        <w:r w:rsidDel="00000000" w:rsidR="00000000" w:rsidRPr="00000000">
          <w:rPr>
            <w:shd w:fill="auto" w:val="clear"/>
            <w:vertAlign w:val="baseline"/>
            <w:rtl w:val="0"/>
          </w:rPr>
          <w:t xml:space="preserve">(Costa; Bainbridge; Trammell; Fausto-Sterling; Butler; Germon; Ogletree et al.; Vasquez)</w:t>
        </w:r>
      </w:hyperlink>
      <w:r w:rsidDel="00000000" w:rsidR="00000000" w:rsidRPr="00000000">
        <w:rPr>
          <w:rtl w:val="0"/>
        </w:rPr>
      </w:r>
    </w:p>
    <w:p w:rsidR="00000000" w:rsidDel="00000000" w:rsidP="00000000" w:rsidRDefault="00000000" w:rsidRPr="00000000" w14:paraId="0000001B">
      <w:pPr>
        <w:spacing w:line="240" w:lineRule="auto"/>
        <w:ind w:firstLine="720"/>
        <w:rPr>
          <w:rFonts w:ascii="Times New Roman" w:cs="Times New Roman" w:eastAsia="Times New Roman" w:hAnsi="Times New Roman"/>
          <w:color w:val="2d3b45"/>
          <w:sz w:val="24"/>
          <w:szCs w:val="24"/>
          <w:u w:val="single"/>
        </w:rPr>
      </w:pPr>
      <w:hyperlink r:id="rId13">
        <w:r w:rsidDel="00000000" w:rsidR="00000000" w:rsidRPr="00000000">
          <w:rPr>
            <w:rFonts w:ascii="Times New Roman" w:cs="Times New Roman" w:eastAsia="Times New Roman" w:hAnsi="Times New Roman"/>
            <w:color w:val="cc2936"/>
            <w:sz w:val="24"/>
            <w:szCs w:val="24"/>
            <w:u w:val="none"/>
            <w:rtl w:val="0"/>
          </w:rPr>
          <w:t xml:space="preserve">(Bogost, </w:t>
        </w:r>
      </w:hyperlink>
      <w:hyperlink r:id="rId14">
        <w:r w:rsidDel="00000000" w:rsidR="00000000" w:rsidRPr="00000000">
          <w:rPr>
            <w:rFonts w:ascii="Times New Roman" w:cs="Times New Roman" w:eastAsia="Times New Roman" w:hAnsi="Times New Roman"/>
            <w:i w:val="1"/>
            <w:color w:val="cc2936"/>
            <w:sz w:val="24"/>
            <w:szCs w:val="24"/>
            <w:u w:val="none"/>
            <w:rtl w:val="0"/>
          </w:rPr>
          <w:t xml:space="preserve">Rhetoric of Video Games</w:t>
        </w:r>
      </w:hyperlink>
      <w:hyperlink r:id="rId15">
        <w:r w:rsidDel="00000000" w:rsidR="00000000" w:rsidRPr="00000000">
          <w:rPr>
            <w:rFonts w:ascii="Times New Roman" w:cs="Times New Roman" w:eastAsia="Times New Roman" w:hAnsi="Times New Roman"/>
            <w:color w:val="cc2936"/>
            <w:sz w:val="24"/>
            <w:szCs w:val="24"/>
            <w:u w:val="none"/>
            <w:rtl w:val="0"/>
          </w:rPr>
          <w:t xml:space="preserve">; Bogost, </w:t>
        </w:r>
      </w:hyperlink>
      <w:hyperlink r:id="rId16">
        <w:r w:rsidDel="00000000" w:rsidR="00000000" w:rsidRPr="00000000">
          <w:rPr>
            <w:rFonts w:ascii="Times New Roman" w:cs="Times New Roman" w:eastAsia="Times New Roman" w:hAnsi="Times New Roman"/>
            <w:i w:val="1"/>
            <w:color w:val="cc2936"/>
            <w:sz w:val="24"/>
            <w:szCs w:val="24"/>
            <w:u w:val="none"/>
            <w:rtl w:val="0"/>
          </w:rPr>
          <w:t xml:space="preserve">Persuasive Games</w:t>
        </w:r>
      </w:hyperlink>
      <w:hyperlink r:id="rId17">
        <w:r w:rsidDel="00000000" w:rsidR="00000000" w:rsidRPr="00000000">
          <w:rPr>
            <w:rFonts w:ascii="Times New Roman" w:cs="Times New Roman" w:eastAsia="Times New Roman" w:hAnsi="Times New Roman"/>
            <w:color w:val="cc2936"/>
            <w:sz w:val="24"/>
            <w:szCs w:val="24"/>
            <w:u w:val="none"/>
            <w:rtl w:val="0"/>
          </w:rPr>
          <w:t xml:space="preserve">)</w:t>
        </w:r>
      </w:hyperlink>
      <w:r w:rsidDel="00000000" w:rsidR="00000000" w:rsidRPr="00000000">
        <w:rPr>
          <w:rtl w:val="0"/>
        </w:rPr>
      </w:r>
    </w:p>
    <w:p w:rsidR="00000000" w:rsidDel="00000000" w:rsidP="00000000" w:rsidRDefault="00000000" w:rsidRPr="00000000" w14:paraId="0000001C">
      <w:pPr>
        <w:shd w:fill="ffffff" w:val="clear"/>
        <w:spacing w:after="180" w:before="180" w:lineRule="auto"/>
        <w:rPr>
          <w:b w:val="1"/>
          <w:color w:val="ff00ff"/>
          <w:sz w:val="18"/>
          <w:szCs w:val="18"/>
        </w:rPr>
      </w:pPr>
      <w:r w:rsidDel="00000000" w:rsidR="00000000" w:rsidRPr="00000000">
        <w:rPr>
          <w:b w:val="1"/>
          <w:color w:val="ff00ff"/>
          <w:sz w:val="18"/>
          <w:szCs w:val="18"/>
          <w:rtl w:val="0"/>
        </w:rPr>
        <w:t xml:space="preserve">This assignment requires that you provide the following information about your final project plans (see </w:t>
      </w:r>
      <w:hyperlink r:id="rId18">
        <w:r w:rsidDel="00000000" w:rsidR="00000000" w:rsidRPr="00000000">
          <w:rPr>
            <w:b w:val="1"/>
            <w:color w:val="ff00ff"/>
            <w:sz w:val="18"/>
            <w:szCs w:val="18"/>
            <w:u w:val="single"/>
            <w:rtl w:val="0"/>
          </w:rPr>
          <w:t xml:space="preserve">Final Project</w:t>
        </w:r>
      </w:hyperlink>
      <w:r w:rsidDel="00000000" w:rsidR="00000000" w:rsidRPr="00000000">
        <w:rPr>
          <w:b w:val="1"/>
          <w:color w:val="ff00ff"/>
          <w:sz w:val="18"/>
          <w:szCs w:val="18"/>
          <w:rtl w:val="0"/>
        </w:rPr>
        <w:t xml:space="preserve"> assignment details):</w:t>
      </w:r>
    </w:p>
    <w:p w:rsidR="00000000" w:rsidDel="00000000" w:rsidP="00000000" w:rsidRDefault="00000000" w:rsidRPr="00000000" w14:paraId="0000001D">
      <w:pPr>
        <w:shd w:fill="ffffff" w:val="clear"/>
        <w:spacing w:after="180" w:before="180" w:lineRule="auto"/>
        <w:rPr>
          <w:b w:val="1"/>
          <w:color w:val="ff00ff"/>
          <w:sz w:val="18"/>
          <w:szCs w:val="18"/>
        </w:rPr>
      </w:pPr>
      <w:r w:rsidDel="00000000" w:rsidR="00000000" w:rsidRPr="00000000">
        <w:rPr>
          <w:b w:val="1"/>
          <w:color w:val="ff00ff"/>
          <w:sz w:val="18"/>
          <w:szCs w:val="18"/>
          <w:rtl w:val="0"/>
        </w:rPr>
        <w:t xml:space="preserve">--topic (the more specific, the better)</w:t>
      </w:r>
    </w:p>
    <w:p w:rsidR="00000000" w:rsidDel="00000000" w:rsidP="00000000" w:rsidRDefault="00000000" w:rsidRPr="00000000" w14:paraId="0000001E">
      <w:pPr>
        <w:shd w:fill="ffffff" w:val="clear"/>
        <w:spacing w:after="180" w:before="180" w:lineRule="auto"/>
        <w:rPr>
          <w:b w:val="1"/>
          <w:color w:val="ff00ff"/>
          <w:sz w:val="18"/>
          <w:szCs w:val="18"/>
        </w:rPr>
      </w:pPr>
      <w:r w:rsidDel="00000000" w:rsidR="00000000" w:rsidRPr="00000000">
        <w:rPr>
          <w:b w:val="1"/>
          <w:color w:val="ff00ff"/>
          <w:sz w:val="18"/>
          <w:szCs w:val="18"/>
          <w:rtl w:val="0"/>
        </w:rPr>
        <w:t xml:space="preserve">--planned approach (thesis or dissertation proposal or chapter? research paper? conference paper for a specific conference? creative project?)</w:t>
      </w:r>
    </w:p>
    <w:p w:rsidR="00000000" w:rsidDel="00000000" w:rsidP="00000000" w:rsidRDefault="00000000" w:rsidRPr="00000000" w14:paraId="0000001F">
      <w:pPr>
        <w:shd w:fill="ffffff" w:val="clear"/>
        <w:spacing w:after="180" w:before="180" w:lineRule="auto"/>
        <w:rPr>
          <w:sz w:val="18"/>
          <w:szCs w:val="18"/>
        </w:rPr>
      </w:pPr>
      <w:r w:rsidDel="00000000" w:rsidR="00000000" w:rsidRPr="00000000">
        <w:rPr>
          <w:sz w:val="18"/>
          <w:szCs w:val="18"/>
          <w:rtl w:val="0"/>
        </w:rPr>
        <w:t xml:space="preserve">My planned approach is two-pronged in nature, as I plan to conduct the textual analysis component of this research and also create a usable deliverable on Twine. My Twine project of representational rhetorics in pokemon has been a passion project that I hope to expand as a map of my dissertation. As of right now, I have completed a draft and basic shell of the Twine project that has pages for gender in terms of the player customization options of the player character, the appearance of the mom character and other female-coded characters as helpers. This work thus will likely be distilled into not only a dissertation chapter and a digital humanities project, but likely also a conference paper with a target of the 2025 event of Replaying Japan. At the 2024 Replaying Japan Conference, I am discussing the postcolonial analysis of indigenous representation in a specific game.  </w:t>
      </w:r>
    </w:p>
    <w:p w:rsidR="00000000" w:rsidDel="00000000" w:rsidP="00000000" w:rsidRDefault="00000000" w:rsidRPr="00000000" w14:paraId="00000020">
      <w:pPr>
        <w:numPr>
          <w:ilvl w:val="0"/>
          <w:numId w:val="7"/>
        </w:numPr>
        <w:shd w:fill="ffffff" w:val="clear"/>
        <w:spacing w:after="0" w:afterAutospacing="0" w:before="180" w:lineRule="auto"/>
        <w:ind w:left="720" w:hanging="360"/>
        <w:rPr>
          <w:sz w:val="18"/>
          <w:szCs w:val="18"/>
        </w:rPr>
      </w:pPr>
      <w:r w:rsidDel="00000000" w:rsidR="00000000" w:rsidRPr="00000000">
        <w:rPr>
          <w:sz w:val="18"/>
          <w:szCs w:val="18"/>
          <w:rtl w:val="0"/>
        </w:rPr>
        <w:t xml:space="preserve">More work for mother </w:t>
      </w:r>
    </w:p>
    <w:p w:rsidR="00000000" w:rsidDel="00000000" w:rsidP="00000000" w:rsidRDefault="00000000" w:rsidRPr="00000000" w14:paraId="00000021">
      <w:pPr>
        <w:numPr>
          <w:ilvl w:val="0"/>
          <w:numId w:val="7"/>
        </w:numPr>
        <w:shd w:fill="ffffff" w:val="clear"/>
        <w:spacing w:after="180" w:before="0" w:beforeAutospacing="0" w:lineRule="auto"/>
        <w:ind w:left="720" w:hanging="360"/>
        <w:rPr>
          <w:sz w:val="18"/>
          <w:szCs w:val="18"/>
        </w:rPr>
      </w:pPr>
      <w:r w:rsidDel="00000000" w:rsidR="00000000" w:rsidRPr="00000000">
        <w:rPr>
          <w:sz w:val="18"/>
          <w:szCs w:val="18"/>
          <w:rtl w:val="0"/>
        </w:rPr>
        <w:t xml:space="preserve">Making tech masculine </w:t>
      </w:r>
    </w:p>
    <w:p w:rsidR="00000000" w:rsidDel="00000000" w:rsidP="00000000" w:rsidRDefault="00000000" w:rsidRPr="00000000" w14:paraId="00000022">
      <w:pPr>
        <w:shd w:fill="ffffff" w:val="clear"/>
        <w:spacing w:after="180" w:before="180" w:lineRule="auto"/>
        <w:rPr>
          <w:b w:val="1"/>
          <w:color w:val="ff00ff"/>
          <w:sz w:val="18"/>
          <w:szCs w:val="18"/>
        </w:rPr>
      </w:pPr>
      <w:r w:rsidDel="00000000" w:rsidR="00000000" w:rsidRPr="00000000">
        <w:rPr>
          <w:b w:val="1"/>
          <w:color w:val="ff00ff"/>
          <w:sz w:val="18"/>
          <w:szCs w:val="18"/>
          <w:rtl w:val="0"/>
        </w:rPr>
        <w:t xml:space="preserve">--methodologies (what are your planned research strategies/approaches to make your project effective? since this is an interdisciplinary course, you may choose to depend on discipline-specific research methods or combine strategies and/or experiment.)</w:t>
      </w:r>
    </w:p>
    <w:p w:rsidR="00000000" w:rsidDel="00000000" w:rsidP="00000000" w:rsidRDefault="00000000" w:rsidRPr="00000000" w14:paraId="00000023">
      <w:pPr>
        <w:numPr>
          <w:ilvl w:val="0"/>
          <w:numId w:val="4"/>
        </w:numPr>
        <w:shd w:fill="ffffff" w:val="clear"/>
        <w:spacing w:after="0" w:afterAutospacing="0" w:before="180" w:lineRule="auto"/>
        <w:ind w:left="720" w:hanging="360"/>
        <w:rPr>
          <w:sz w:val="18"/>
          <w:szCs w:val="18"/>
        </w:rPr>
      </w:pPr>
      <w:r w:rsidDel="00000000" w:rsidR="00000000" w:rsidRPr="00000000">
        <w:rPr>
          <w:sz w:val="18"/>
          <w:szCs w:val="18"/>
          <w:rtl w:val="0"/>
        </w:rPr>
        <w:t xml:space="preserve">Survey / interview </w:t>
      </w:r>
    </w:p>
    <w:p w:rsidR="00000000" w:rsidDel="00000000" w:rsidP="00000000" w:rsidRDefault="00000000" w:rsidRPr="00000000" w14:paraId="00000024">
      <w:pPr>
        <w:numPr>
          <w:ilvl w:val="0"/>
          <w:numId w:val="4"/>
        </w:numPr>
        <w:shd w:fill="ffffff" w:val="clear"/>
        <w:spacing w:after="0" w:afterAutospacing="0" w:before="0" w:beforeAutospacing="0" w:lineRule="auto"/>
        <w:ind w:left="720" w:hanging="360"/>
        <w:rPr>
          <w:sz w:val="18"/>
          <w:szCs w:val="18"/>
          <w:u w:val="none"/>
        </w:rPr>
      </w:pPr>
      <w:r w:rsidDel="00000000" w:rsidR="00000000" w:rsidRPr="00000000">
        <w:rPr>
          <w:sz w:val="18"/>
          <w:szCs w:val="18"/>
          <w:rtl w:val="0"/>
        </w:rPr>
        <w:t xml:space="preserve">Feminist approaches - feminist standpoint reader, feminist interview protocol </w:t>
      </w:r>
    </w:p>
    <w:p w:rsidR="00000000" w:rsidDel="00000000" w:rsidP="00000000" w:rsidRDefault="00000000" w:rsidRPr="00000000" w14:paraId="00000025">
      <w:pPr>
        <w:numPr>
          <w:ilvl w:val="0"/>
          <w:numId w:val="4"/>
        </w:numPr>
        <w:shd w:fill="ffffff" w:val="clear"/>
        <w:spacing w:after="180" w:before="0" w:beforeAutospacing="0" w:lineRule="auto"/>
        <w:ind w:left="720" w:hanging="360"/>
        <w:rPr>
          <w:sz w:val="18"/>
          <w:szCs w:val="18"/>
          <w:u w:val="none"/>
        </w:rPr>
      </w:pPr>
      <w:r w:rsidDel="00000000" w:rsidR="00000000" w:rsidRPr="00000000">
        <w:rPr>
          <w:sz w:val="18"/>
          <w:szCs w:val="18"/>
          <w:rtl w:val="0"/>
        </w:rPr>
        <w:t xml:space="preserve">IRB request </w:t>
      </w:r>
    </w:p>
    <w:p w:rsidR="00000000" w:rsidDel="00000000" w:rsidP="00000000" w:rsidRDefault="00000000" w:rsidRPr="00000000" w14:paraId="00000026">
      <w:pPr>
        <w:shd w:fill="ffffff" w:val="clear"/>
        <w:spacing w:after="180" w:before="180" w:lineRule="auto"/>
        <w:rPr>
          <w:sz w:val="18"/>
          <w:szCs w:val="18"/>
        </w:rPr>
      </w:pPr>
      <w:r w:rsidDel="00000000" w:rsidR="00000000" w:rsidRPr="00000000">
        <w:rPr>
          <w:rtl w:val="0"/>
        </w:rPr>
      </w:r>
    </w:p>
    <w:p w:rsidR="00000000" w:rsidDel="00000000" w:rsidP="00000000" w:rsidRDefault="00000000" w:rsidRPr="00000000" w14:paraId="00000027">
      <w:pPr>
        <w:shd w:fill="ffffff" w:val="clear"/>
        <w:spacing w:after="180" w:before="180" w:lineRule="auto"/>
        <w:rPr>
          <w:sz w:val="18"/>
          <w:szCs w:val="18"/>
        </w:rPr>
      </w:pPr>
      <w:r w:rsidDel="00000000" w:rsidR="00000000" w:rsidRPr="00000000">
        <w:rPr>
          <w:sz w:val="18"/>
          <w:szCs w:val="18"/>
          <w:rtl w:val="0"/>
        </w:rPr>
        <w:t xml:space="preserve">In the future, beyond the scope of what we are able to accomplish in the finite barriers of the Spring ‘24 semester, I’d like to supplement the textual analysis component of this research with feminist survey and interviews.  </w:t>
      </w:r>
    </w:p>
    <w:p w:rsidR="00000000" w:rsidDel="00000000" w:rsidP="00000000" w:rsidRDefault="00000000" w:rsidRPr="00000000" w14:paraId="00000028">
      <w:pPr>
        <w:shd w:fill="ffffff" w:val="clear"/>
        <w:spacing w:after="180" w:before="180" w:lineRule="auto"/>
        <w:rPr>
          <w:b w:val="1"/>
          <w:color w:val="ff00ff"/>
          <w:sz w:val="18"/>
          <w:szCs w:val="18"/>
        </w:rPr>
      </w:pPr>
      <w:r w:rsidDel="00000000" w:rsidR="00000000" w:rsidRPr="00000000">
        <w:rPr>
          <w:b w:val="1"/>
          <w:color w:val="ff00ff"/>
          <w:sz w:val="18"/>
          <w:szCs w:val="18"/>
          <w:rtl w:val="0"/>
        </w:rPr>
        <w:t xml:space="preserve">--theories and approaches (specific theories, theorists; you should integrate texts and theories we examine in the course)</w:t>
      </w:r>
    </w:p>
    <w:p w:rsidR="00000000" w:rsidDel="00000000" w:rsidP="00000000" w:rsidRDefault="00000000" w:rsidRPr="00000000" w14:paraId="00000029">
      <w:pPr>
        <w:shd w:fill="ffffff" w:val="clear"/>
        <w:spacing w:after="180" w:before="180" w:lineRule="auto"/>
        <w:rPr>
          <w:b w:val="1"/>
          <w:sz w:val="18"/>
          <w:szCs w:val="18"/>
        </w:rPr>
      </w:pPr>
      <w:r w:rsidDel="00000000" w:rsidR="00000000" w:rsidRPr="00000000">
        <w:rPr>
          <w:b w:val="1"/>
          <w:sz w:val="18"/>
          <w:szCs w:val="18"/>
          <w:rtl w:val="0"/>
        </w:rPr>
        <w:t xml:space="preserve">Intersectionality, money, judith butler </w:t>
      </w:r>
    </w:p>
    <w:p w:rsidR="00000000" w:rsidDel="00000000" w:rsidP="00000000" w:rsidRDefault="00000000" w:rsidRPr="00000000" w14:paraId="0000002A">
      <w:pPr>
        <w:shd w:fill="ffffff" w:val="clear"/>
        <w:spacing w:after="180" w:before="180" w:lineRule="auto"/>
        <w:rPr>
          <w:b w:val="1"/>
          <w:color w:val="ff00ff"/>
          <w:sz w:val="18"/>
          <w:szCs w:val="18"/>
        </w:rPr>
      </w:pPr>
      <w:r w:rsidDel="00000000" w:rsidR="00000000" w:rsidRPr="00000000">
        <w:rPr>
          <w:b w:val="1"/>
          <w:color w:val="ff00ff"/>
          <w:sz w:val="18"/>
          <w:szCs w:val="18"/>
          <w:rtl w:val="0"/>
        </w:rPr>
        <w:t xml:space="preserve">--resources you may need (these could be university or research-based resources or a research assistant, for example)</w:t>
      </w:r>
    </w:p>
    <w:p w:rsidR="00000000" w:rsidDel="00000000" w:rsidP="00000000" w:rsidRDefault="00000000" w:rsidRPr="00000000" w14:paraId="0000002B">
      <w:pPr>
        <w:shd w:fill="ffffff" w:val="clear"/>
        <w:spacing w:after="180" w:before="180" w:lineRule="auto"/>
        <w:rPr>
          <w:b w:val="1"/>
          <w:color w:val="ff00ff"/>
          <w:sz w:val="18"/>
          <w:szCs w:val="18"/>
        </w:rPr>
      </w:pPr>
      <w:r w:rsidDel="00000000" w:rsidR="00000000" w:rsidRPr="00000000">
        <w:rPr>
          <w:b w:val="1"/>
          <w:color w:val="ff00ff"/>
          <w:sz w:val="18"/>
          <w:szCs w:val="18"/>
          <w:rtl w:val="0"/>
        </w:rPr>
        <w:t xml:space="preserve">--do you foresee any challenges?  </w:t>
      </w:r>
    </w:p>
    <w:p w:rsidR="00000000" w:rsidDel="00000000" w:rsidP="00000000" w:rsidRDefault="00000000" w:rsidRPr="00000000" w14:paraId="0000002C">
      <w:pPr>
        <w:numPr>
          <w:ilvl w:val="0"/>
          <w:numId w:val="1"/>
        </w:numPr>
        <w:shd w:fill="ffffff" w:val="clear"/>
        <w:spacing w:after="180" w:before="180" w:lineRule="auto"/>
        <w:ind w:left="720" w:hanging="360"/>
        <w:rPr>
          <w:b w:val="1"/>
          <w:color w:val="ff00ff"/>
          <w:sz w:val="18"/>
          <w:szCs w:val="18"/>
          <w:u w:val="none"/>
        </w:rPr>
      </w:pPr>
      <w:r w:rsidDel="00000000" w:rsidR="00000000" w:rsidRPr="00000000">
        <w:rPr>
          <w:b w:val="1"/>
          <w:color w:val="ff00ff"/>
          <w:sz w:val="18"/>
          <w:szCs w:val="18"/>
          <w:rtl w:val="0"/>
        </w:rPr>
        <w:t xml:space="preserve">Finite limitations of time in Spring ‘24 </w:t>
      </w:r>
    </w:p>
    <w:p w:rsidR="00000000" w:rsidDel="00000000" w:rsidP="00000000" w:rsidRDefault="00000000" w:rsidRPr="00000000" w14:paraId="0000002D">
      <w:pPr>
        <w:shd w:fill="ffffff" w:val="clear"/>
        <w:spacing w:after="180" w:before="180" w:lineRule="auto"/>
        <w:rPr>
          <w:b w:val="1"/>
          <w:color w:val="ff00ff"/>
          <w:sz w:val="18"/>
          <w:szCs w:val="18"/>
        </w:rPr>
      </w:pPr>
      <w:r w:rsidDel="00000000" w:rsidR="00000000" w:rsidRPr="00000000">
        <w:rPr>
          <w:b w:val="1"/>
          <w:color w:val="ff00ff"/>
          <w:sz w:val="18"/>
          <w:szCs w:val="18"/>
          <w:rtl w:val="0"/>
        </w:rPr>
        <w:t xml:space="preserve">Your proposal should be 7-10 double-spaced pages using a standard format (from your discipline or if you are interdisciplinary your preferred format). Include a Works Referenced page. You can use any or all of your proposals in your final project as appropriate, so keep this in mind. </w:t>
      </w:r>
    </w:p>
    <w:p w:rsidR="00000000" w:rsidDel="00000000" w:rsidP="00000000" w:rsidRDefault="00000000" w:rsidRPr="00000000" w14:paraId="0000002E">
      <w:pPr>
        <w:rPr/>
      </w:pPr>
      <w:hyperlink r:id="rId19">
        <w:r w:rsidDel="00000000" w:rsidR="00000000" w:rsidRPr="00000000">
          <w:rPr>
            <w:shd w:fill="auto" w:val="clear"/>
            <w:vertAlign w:val="baseline"/>
            <w:rtl w:val="0"/>
          </w:rPr>
          <w:t xml:space="preserve">(Hutchinson; Bogost, </w:t>
        </w:r>
      </w:hyperlink>
      <w:hyperlink r:id="rId20">
        <w:r w:rsidDel="00000000" w:rsidR="00000000" w:rsidRPr="00000000">
          <w:rPr>
            <w:i w:val="1"/>
            <w:shd w:fill="auto" w:val="clear"/>
            <w:vertAlign w:val="baseline"/>
            <w:rtl w:val="0"/>
          </w:rPr>
          <w:t xml:space="preserve">Persuasive Games</w:t>
        </w:r>
      </w:hyperlink>
      <w:hyperlink r:id="rId21">
        <w:r w:rsidDel="00000000" w:rsidR="00000000" w:rsidRPr="00000000">
          <w:rPr>
            <w:shd w:fill="auto" w:val="clear"/>
            <w:vertAlign w:val="baseline"/>
            <w:rtl w:val="0"/>
          </w:rPr>
          <w:t xml:space="preserve">; Bogost, </w:t>
        </w:r>
      </w:hyperlink>
      <w:hyperlink r:id="rId22">
        <w:r w:rsidDel="00000000" w:rsidR="00000000" w:rsidRPr="00000000">
          <w:rPr>
            <w:i w:val="1"/>
            <w:shd w:fill="auto" w:val="clear"/>
            <w:vertAlign w:val="baseline"/>
            <w:rtl w:val="0"/>
          </w:rPr>
          <w:t xml:space="preserve">Rhetoric of Video Games</w:t>
        </w:r>
      </w:hyperlink>
      <w:hyperlink r:id="rId23">
        <w:r w:rsidDel="00000000" w:rsidR="00000000" w:rsidRPr="00000000">
          <w:rPr>
            <w:shd w:fill="auto" w:val="clear"/>
            <w:vertAlign w:val="baseline"/>
            <w:rtl w:val="0"/>
          </w:rPr>
          <w:t xml:space="preserve">)</w:t>
        </w:r>
      </w:hyperlink>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pPr>
      <w:hyperlink r:id="rId24">
        <w:r w:rsidDel="00000000" w:rsidR="00000000" w:rsidRPr="00000000">
          <w:rPr>
            <w:shd w:fill="auto" w:val="clear"/>
            <w:vertAlign w:val="baseline"/>
            <w:rtl w:val="0"/>
          </w:rPr>
          <w:t xml:space="preserve">Bainbridge, Jason. “‘It Is a Pokémon World’: The Pokémon Franchise and the Environment.” </w:t>
        </w:r>
      </w:hyperlink>
      <w:hyperlink r:id="rId25">
        <w:r w:rsidDel="00000000" w:rsidR="00000000" w:rsidRPr="00000000">
          <w:rPr>
            <w:i w:val="1"/>
            <w:shd w:fill="auto" w:val="clear"/>
            <w:vertAlign w:val="baseline"/>
            <w:rtl w:val="0"/>
          </w:rPr>
          <w:t xml:space="preserve">International Journal of Cultural Studies</w:t>
        </w:r>
      </w:hyperlink>
      <w:hyperlink r:id="rId26">
        <w:r w:rsidDel="00000000" w:rsidR="00000000" w:rsidRPr="00000000">
          <w:rPr>
            <w:shd w:fill="auto" w:val="clear"/>
            <w:vertAlign w:val="baseline"/>
            <w:rtl w:val="0"/>
          </w:rPr>
          <w:t xml:space="preserve">, vol. 17, no. 4, July 2014, pp. 399–414. </w:t>
        </w:r>
      </w:hyperlink>
      <w:hyperlink r:id="rId27">
        <w:r w:rsidDel="00000000" w:rsidR="00000000" w:rsidRPr="00000000">
          <w:rPr>
            <w:i w:val="1"/>
            <w:shd w:fill="auto" w:val="clear"/>
            <w:vertAlign w:val="baseline"/>
            <w:rtl w:val="0"/>
          </w:rPr>
          <w:t xml:space="preserve">SAGE Journals</w:t>
        </w:r>
      </w:hyperlink>
      <w:hyperlink r:id="rId28">
        <w:r w:rsidDel="00000000" w:rsidR="00000000" w:rsidRPr="00000000">
          <w:rPr>
            <w:shd w:fill="auto" w:val="clear"/>
            <w:vertAlign w:val="baseline"/>
            <w:rtl w:val="0"/>
          </w:rPr>
          <w:t xml:space="preserve">, https://doi.org/10.1177/1367877913501240.</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pPr>
      <w:hyperlink r:id="rId29">
        <w:r w:rsidDel="00000000" w:rsidR="00000000" w:rsidRPr="00000000">
          <w:rPr>
            <w:shd w:fill="auto" w:val="clear"/>
            <w:vertAlign w:val="baseline"/>
            <w:rtl w:val="0"/>
          </w:rPr>
          <w:t xml:space="preserve">Bogost, Ian. </w:t>
        </w:r>
      </w:hyperlink>
      <w:hyperlink r:id="rId30">
        <w:r w:rsidDel="00000000" w:rsidR="00000000" w:rsidRPr="00000000">
          <w:rPr>
            <w:i w:val="1"/>
            <w:shd w:fill="auto" w:val="clear"/>
            <w:vertAlign w:val="baseline"/>
            <w:rtl w:val="0"/>
          </w:rPr>
          <w:t xml:space="preserve">Persuasive Games: The Expressive Power of Videogames</w:t>
        </w:r>
      </w:hyperlink>
      <w:hyperlink r:id="rId31">
        <w:r w:rsidDel="00000000" w:rsidR="00000000" w:rsidRPr="00000000">
          <w:rPr>
            <w:shd w:fill="auto" w:val="clear"/>
            <w:vertAlign w:val="baseline"/>
            <w:rtl w:val="0"/>
          </w:rPr>
          <w:t xml:space="preserve">. MIT Press, 2010.</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pPr>
      <w:hyperlink r:id="rId32">
        <w:r w:rsidDel="00000000" w:rsidR="00000000" w:rsidRPr="00000000">
          <w:rPr>
            <w:shd w:fill="auto" w:val="clear"/>
            <w:vertAlign w:val="baseline"/>
            <w:rtl w:val="0"/>
          </w:rPr>
          <w:t xml:space="preserve">---. </w:t>
        </w:r>
      </w:hyperlink>
      <w:hyperlink r:id="rId33">
        <w:r w:rsidDel="00000000" w:rsidR="00000000" w:rsidRPr="00000000">
          <w:rPr>
            <w:i w:val="1"/>
            <w:shd w:fill="auto" w:val="clear"/>
            <w:vertAlign w:val="baseline"/>
            <w:rtl w:val="0"/>
          </w:rPr>
          <w:t xml:space="preserve">Rhetoric of Video Games</w:t>
        </w:r>
      </w:hyperlink>
      <w:hyperlink r:id="rId34">
        <w:r w:rsidDel="00000000" w:rsidR="00000000" w:rsidRPr="00000000">
          <w:rPr>
            <w:shd w:fill="auto" w:val="clear"/>
            <w:vertAlign w:val="baseline"/>
            <w:rtl w:val="0"/>
          </w:rPr>
          <w:t xml:space="preserve">. 2007.</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pPr>
      <w:hyperlink r:id="rId35">
        <w:r w:rsidDel="00000000" w:rsidR="00000000" w:rsidRPr="00000000">
          <w:rPr>
            <w:shd w:fill="auto" w:val="clear"/>
            <w:vertAlign w:val="baseline"/>
            <w:rtl w:val="0"/>
          </w:rPr>
          <w:t xml:space="preserve">Butler, Judith. </w:t>
        </w:r>
      </w:hyperlink>
      <w:hyperlink r:id="rId36">
        <w:r w:rsidDel="00000000" w:rsidR="00000000" w:rsidRPr="00000000">
          <w:rPr>
            <w:i w:val="1"/>
            <w:shd w:fill="auto" w:val="clear"/>
            <w:vertAlign w:val="baseline"/>
            <w:rtl w:val="0"/>
          </w:rPr>
          <w:t xml:space="preserve">Gender Trouble: Feminism and the Subversion of Identity</w:t>
        </w:r>
      </w:hyperlink>
      <w:hyperlink r:id="rId37">
        <w:r w:rsidDel="00000000" w:rsidR="00000000" w:rsidRPr="00000000">
          <w:rPr>
            <w:shd w:fill="auto" w:val="clear"/>
            <w:vertAlign w:val="baseline"/>
            <w:rtl w:val="0"/>
          </w:rPr>
          <w:t xml:space="preserve">. Routledge, 1999.</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pPr>
      <w:hyperlink r:id="rId38">
        <w:r w:rsidDel="00000000" w:rsidR="00000000" w:rsidRPr="00000000">
          <w:rPr>
            <w:shd w:fill="auto" w:val="clear"/>
            <w:vertAlign w:val="baseline"/>
            <w:rtl w:val="0"/>
          </w:rPr>
          <w:t xml:space="preserve">Costa, Marina Fontolan, James Wilson Malazita, Janaina Pamplona da. “Language, Identity and Games: Discussing the Role of Players in Videogame Localization.” </w:t>
        </w:r>
      </w:hyperlink>
      <w:hyperlink r:id="rId39">
        <w:r w:rsidDel="00000000" w:rsidR="00000000" w:rsidRPr="00000000">
          <w:rPr>
            <w:i w:val="1"/>
            <w:shd w:fill="auto" w:val="clear"/>
            <w:vertAlign w:val="baseline"/>
            <w:rtl w:val="0"/>
          </w:rPr>
          <w:t xml:space="preserve">Game Studies</w:t>
        </w:r>
      </w:hyperlink>
      <w:hyperlink r:id="rId40">
        <w:r w:rsidDel="00000000" w:rsidR="00000000" w:rsidRPr="00000000">
          <w:rPr>
            <w:shd w:fill="auto" w:val="clear"/>
            <w:vertAlign w:val="baseline"/>
            <w:rtl w:val="0"/>
          </w:rPr>
          <w:t xml:space="preserve">, vol. 22, no. 3, Aug. 2022. </w:t>
        </w:r>
      </w:hyperlink>
      <w:hyperlink r:id="rId41">
        <w:r w:rsidDel="00000000" w:rsidR="00000000" w:rsidRPr="00000000">
          <w:rPr>
            <w:i w:val="1"/>
            <w:shd w:fill="auto" w:val="clear"/>
            <w:vertAlign w:val="baseline"/>
            <w:rtl w:val="0"/>
          </w:rPr>
          <w:t xml:space="preserve">Game Studies</w:t>
        </w:r>
      </w:hyperlink>
      <w:hyperlink r:id="rId42">
        <w:r w:rsidDel="00000000" w:rsidR="00000000" w:rsidRPr="00000000">
          <w:rPr>
            <w:shd w:fill="auto" w:val="clear"/>
            <w:vertAlign w:val="baseline"/>
            <w:rtl w:val="0"/>
          </w:rPr>
          <w:t xml:space="preserve">, http://gamestudies.org/2203/articles/fontolan_malazita_dacosta.</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pPr>
      <w:hyperlink r:id="rId43">
        <w:r w:rsidDel="00000000" w:rsidR="00000000" w:rsidRPr="00000000">
          <w:rPr>
            <w:shd w:fill="auto" w:val="clear"/>
            <w:vertAlign w:val="baseline"/>
            <w:rtl w:val="0"/>
          </w:rPr>
          <w:t xml:space="preserve">Fausto-Sterling, Anne. </w:t>
        </w:r>
      </w:hyperlink>
      <w:hyperlink r:id="rId44">
        <w:r w:rsidDel="00000000" w:rsidR="00000000" w:rsidRPr="00000000">
          <w:rPr>
            <w:i w:val="1"/>
            <w:shd w:fill="auto" w:val="clear"/>
            <w:vertAlign w:val="baseline"/>
            <w:rtl w:val="0"/>
          </w:rPr>
          <w:t xml:space="preserve">Sex/Gender: Biology in a Social World</w:t>
        </w:r>
      </w:hyperlink>
      <w:hyperlink r:id="rId45">
        <w:r w:rsidDel="00000000" w:rsidR="00000000" w:rsidRPr="00000000">
          <w:rPr>
            <w:shd w:fill="auto" w:val="clear"/>
            <w:vertAlign w:val="baseline"/>
            <w:rtl w:val="0"/>
          </w:rPr>
          <w:t xml:space="preserve">. Taylor &amp; Francis, 2012.</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pPr>
      <w:hyperlink r:id="rId46">
        <w:r w:rsidDel="00000000" w:rsidR="00000000" w:rsidRPr="00000000">
          <w:rPr>
            <w:shd w:fill="auto" w:val="clear"/>
            <w:vertAlign w:val="baseline"/>
            <w:rtl w:val="0"/>
          </w:rPr>
          <w:t xml:space="preserve">Fuller, Eden. “Designing Queer Narratives with Twine.” </w:t>
        </w:r>
      </w:hyperlink>
      <w:hyperlink r:id="rId47">
        <w:r w:rsidDel="00000000" w:rsidR="00000000" w:rsidRPr="00000000">
          <w:rPr>
            <w:i w:val="1"/>
            <w:shd w:fill="auto" w:val="clear"/>
            <w:vertAlign w:val="baseline"/>
            <w:rtl w:val="0"/>
          </w:rPr>
          <w:t xml:space="preserve">Brinkbit</w:t>
        </w:r>
      </w:hyperlink>
      <w:hyperlink r:id="rId48">
        <w:r w:rsidDel="00000000" w:rsidR="00000000" w:rsidRPr="00000000">
          <w:rPr>
            <w:shd w:fill="auto" w:val="clear"/>
            <w:vertAlign w:val="baseline"/>
            <w:rtl w:val="0"/>
          </w:rPr>
          <w:t xml:space="preserve">, 22 June 2017, https://medium.com/brinkbit/designing-queer-narratives-with-twine-865f1abae516.</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pPr>
      <w:hyperlink r:id="rId49">
        <w:r w:rsidDel="00000000" w:rsidR="00000000" w:rsidRPr="00000000">
          <w:rPr>
            <w:shd w:fill="auto" w:val="clear"/>
            <w:vertAlign w:val="baseline"/>
            <w:rtl w:val="0"/>
          </w:rPr>
          <w:t xml:space="preserve">Germon, J. </w:t>
        </w:r>
      </w:hyperlink>
      <w:hyperlink r:id="rId50">
        <w:r w:rsidDel="00000000" w:rsidR="00000000" w:rsidRPr="00000000">
          <w:rPr>
            <w:i w:val="1"/>
            <w:shd w:fill="auto" w:val="clear"/>
            <w:vertAlign w:val="baseline"/>
            <w:rtl w:val="0"/>
          </w:rPr>
          <w:t xml:space="preserve">Gender: A Genealogy of an Idea</w:t>
        </w:r>
      </w:hyperlink>
      <w:hyperlink r:id="rId51">
        <w:r w:rsidDel="00000000" w:rsidR="00000000" w:rsidRPr="00000000">
          <w:rPr>
            <w:shd w:fill="auto" w:val="clear"/>
            <w:vertAlign w:val="baseline"/>
            <w:rtl w:val="0"/>
          </w:rPr>
          <w:t xml:space="preserve">. Springer, 2009.</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pPr>
      <w:hyperlink r:id="rId52">
        <w:r w:rsidDel="00000000" w:rsidR="00000000" w:rsidRPr="00000000">
          <w:rPr>
            <w:shd w:fill="auto" w:val="clear"/>
            <w:vertAlign w:val="baseline"/>
            <w:rtl w:val="0"/>
          </w:rPr>
          <w:t xml:space="preserve">Hutchinson, Rachael. “Observant Play: Colonial Ideology in The Legend of Zelda: Breath of the Wild.” </w:t>
        </w:r>
      </w:hyperlink>
      <w:hyperlink r:id="rId53">
        <w:r w:rsidDel="00000000" w:rsidR="00000000" w:rsidRPr="00000000">
          <w:rPr>
            <w:i w:val="1"/>
            <w:shd w:fill="auto" w:val="clear"/>
            <w:vertAlign w:val="baseline"/>
            <w:rtl w:val="0"/>
          </w:rPr>
          <w:t xml:space="preserve">Game Studies</w:t>
        </w:r>
      </w:hyperlink>
      <w:hyperlink r:id="rId54">
        <w:r w:rsidDel="00000000" w:rsidR="00000000" w:rsidRPr="00000000">
          <w:rPr>
            <w:shd w:fill="auto" w:val="clear"/>
            <w:vertAlign w:val="baseline"/>
            <w:rtl w:val="0"/>
          </w:rPr>
          <w:t xml:space="preserve">, vol. 21, no. 3, Sept. 2021. </w:t>
        </w:r>
      </w:hyperlink>
      <w:hyperlink r:id="rId55">
        <w:r w:rsidDel="00000000" w:rsidR="00000000" w:rsidRPr="00000000">
          <w:rPr>
            <w:i w:val="1"/>
            <w:shd w:fill="auto" w:val="clear"/>
            <w:vertAlign w:val="baseline"/>
            <w:rtl w:val="0"/>
          </w:rPr>
          <w:t xml:space="preserve">Game Studies</w:t>
        </w:r>
      </w:hyperlink>
      <w:hyperlink r:id="rId56">
        <w:r w:rsidDel="00000000" w:rsidR="00000000" w:rsidRPr="00000000">
          <w:rPr>
            <w:shd w:fill="auto" w:val="clear"/>
            <w:vertAlign w:val="baseline"/>
            <w:rtl w:val="0"/>
          </w:rPr>
          <w:t xml:space="preserve">, http://gamestudies.org/2103/articles/hutchinson.</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pPr>
      <w:hyperlink r:id="rId57">
        <w:r w:rsidDel="00000000" w:rsidR="00000000" w:rsidRPr="00000000">
          <w:rPr>
            <w:shd w:fill="auto" w:val="clear"/>
            <w:vertAlign w:val="baseline"/>
            <w:rtl w:val="0"/>
          </w:rPr>
          <w:t xml:space="preserve">Ogletree, Shirley M., et al. “Pokémon: Exploring the Role of Gender.” </w:t>
        </w:r>
      </w:hyperlink>
      <w:hyperlink r:id="rId58">
        <w:r w:rsidDel="00000000" w:rsidR="00000000" w:rsidRPr="00000000">
          <w:rPr>
            <w:i w:val="1"/>
            <w:shd w:fill="auto" w:val="clear"/>
            <w:vertAlign w:val="baseline"/>
            <w:rtl w:val="0"/>
          </w:rPr>
          <w:t xml:space="preserve">Sex Roles</w:t>
        </w:r>
      </w:hyperlink>
      <w:hyperlink r:id="rId59">
        <w:r w:rsidDel="00000000" w:rsidR="00000000" w:rsidRPr="00000000">
          <w:rPr>
            <w:shd w:fill="auto" w:val="clear"/>
            <w:vertAlign w:val="baseline"/>
            <w:rtl w:val="0"/>
          </w:rPr>
          <w:t xml:space="preserve">, vol. 50, no. 11–12, June 2004, pp. 851–60. </w:t>
        </w:r>
      </w:hyperlink>
      <w:hyperlink r:id="rId60">
        <w:r w:rsidDel="00000000" w:rsidR="00000000" w:rsidRPr="00000000">
          <w:rPr>
            <w:i w:val="1"/>
            <w:shd w:fill="auto" w:val="clear"/>
            <w:vertAlign w:val="baseline"/>
            <w:rtl w:val="0"/>
          </w:rPr>
          <w:t xml:space="preserve">EBSCOhost</w:t>
        </w:r>
      </w:hyperlink>
      <w:hyperlink r:id="rId61">
        <w:r w:rsidDel="00000000" w:rsidR="00000000" w:rsidRPr="00000000">
          <w:rPr>
            <w:shd w:fill="auto" w:val="clear"/>
            <w:vertAlign w:val="baseline"/>
            <w:rtl w:val="0"/>
          </w:rPr>
          <w:t xml:space="preserve">, https://doi.org/10.1023/B:SERS.0000029102.66384.a2.</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pPr>
      <w:hyperlink r:id="rId62">
        <w:r w:rsidDel="00000000" w:rsidR="00000000" w:rsidRPr="00000000">
          <w:rPr>
            <w:shd w:fill="auto" w:val="clear"/>
            <w:vertAlign w:val="baseline"/>
            <w:rtl w:val="0"/>
          </w:rPr>
          <w:t xml:space="preserve">Salter, Anastasia, and Stuart Moulthrop. “Queer Twine and Camp.” </w:t>
        </w:r>
      </w:hyperlink>
      <w:hyperlink r:id="rId63">
        <w:r w:rsidDel="00000000" w:rsidR="00000000" w:rsidRPr="00000000">
          <w:rPr>
            <w:i w:val="1"/>
            <w:shd w:fill="auto" w:val="clear"/>
            <w:vertAlign w:val="baseline"/>
            <w:rtl w:val="0"/>
          </w:rPr>
          <w:t xml:space="preserve">Twining</w:t>
        </w:r>
      </w:hyperlink>
      <w:hyperlink r:id="rId64">
        <w:r w:rsidDel="00000000" w:rsidR="00000000" w:rsidRPr="00000000">
          <w:rPr>
            <w:shd w:fill="auto" w:val="clear"/>
            <w:vertAlign w:val="baseline"/>
            <w:rtl w:val="0"/>
          </w:rPr>
          <w:t xml:space="preserve">, Amherst College Press, 2021, pp. 205–30. </w:t>
        </w:r>
      </w:hyperlink>
      <w:hyperlink r:id="rId65">
        <w:r w:rsidDel="00000000" w:rsidR="00000000" w:rsidRPr="00000000">
          <w:rPr>
            <w:i w:val="1"/>
            <w:shd w:fill="auto" w:val="clear"/>
            <w:vertAlign w:val="baseline"/>
            <w:rtl w:val="0"/>
          </w:rPr>
          <w:t xml:space="preserve">JSTOR</w:t>
        </w:r>
      </w:hyperlink>
      <w:hyperlink r:id="rId66">
        <w:r w:rsidDel="00000000" w:rsidR="00000000" w:rsidRPr="00000000">
          <w:rPr>
            <w:shd w:fill="auto" w:val="clear"/>
            <w:vertAlign w:val="baseline"/>
            <w:rtl w:val="0"/>
          </w:rPr>
          <w:t xml:space="preserve">, https://www.jstor.org/stable/10.3998/mpub.12255695.10.</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pPr>
      <w:hyperlink r:id="rId67">
        <w:r w:rsidDel="00000000" w:rsidR="00000000" w:rsidRPr="00000000">
          <w:rPr>
            <w:shd w:fill="auto" w:val="clear"/>
            <w:vertAlign w:val="baseline"/>
            <w:rtl w:val="0"/>
          </w:rPr>
          <w:t xml:space="preserve">---. </w:t>
        </w:r>
      </w:hyperlink>
      <w:hyperlink r:id="rId68">
        <w:r w:rsidDel="00000000" w:rsidR="00000000" w:rsidRPr="00000000">
          <w:rPr>
            <w:i w:val="1"/>
            <w:shd w:fill="auto" w:val="clear"/>
            <w:vertAlign w:val="baseline"/>
            <w:rtl w:val="0"/>
          </w:rPr>
          <w:t xml:space="preserve">Twining: Critical and Creative Approaches to Hypertext Narratives</w:t>
        </w:r>
      </w:hyperlink>
      <w:hyperlink r:id="rId69">
        <w:r w:rsidDel="00000000" w:rsidR="00000000" w:rsidRPr="00000000">
          <w:rPr>
            <w:shd w:fill="auto" w:val="clear"/>
            <w:vertAlign w:val="baseline"/>
            <w:rtl w:val="0"/>
          </w:rPr>
          <w:t xml:space="preserve">. Amherst College Press, 2021. </w:t>
        </w:r>
      </w:hyperlink>
      <w:hyperlink r:id="rId70">
        <w:r w:rsidDel="00000000" w:rsidR="00000000" w:rsidRPr="00000000">
          <w:rPr>
            <w:i w:val="1"/>
            <w:shd w:fill="auto" w:val="clear"/>
            <w:vertAlign w:val="baseline"/>
            <w:rtl w:val="0"/>
          </w:rPr>
          <w:t xml:space="preserve">ACLS Humanities EBook</w:t>
        </w:r>
      </w:hyperlink>
      <w:hyperlink r:id="rId71">
        <w:r w:rsidDel="00000000" w:rsidR="00000000" w:rsidRPr="00000000">
          <w:rPr>
            <w:shd w:fill="auto" w:val="clear"/>
            <w:vertAlign w:val="baseline"/>
            <w:rtl w:val="0"/>
          </w:rPr>
          <w:t xml:space="preserve">, https://doi.org/10.3998/mpub.12255695.</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pPr>
      <w:hyperlink r:id="rId72">
        <w:r w:rsidDel="00000000" w:rsidR="00000000" w:rsidRPr="00000000">
          <w:rPr>
            <w:shd w:fill="auto" w:val="clear"/>
            <w:vertAlign w:val="baseline"/>
            <w:rtl w:val="0"/>
          </w:rPr>
          <w:t xml:space="preserve">Trammell, Aaron. “Decolonizing Play.” </w:t>
        </w:r>
      </w:hyperlink>
      <w:hyperlink r:id="rId73">
        <w:r w:rsidDel="00000000" w:rsidR="00000000" w:rsidRPr="00000000">
          <w:rPr>
            <w:i w:val="1"/>
            <w:shd w:fill="auto" w:val="clear"/>
            <w:vertAlign w:val="baseline"/>
            <w:rtl w:val="0"/>
          </w:rPr>
          <w:t xml:space="preserve">Critical Studies in Media Communication</w:t>
        </w:r>
      </w:hyperlink>
      <w:hyperlink r:id="rId74">
        <w:r w:rsidDel="00000000" w:rsidR="00000000" w:rsidRPr="00000000">
          <w:rPr>
            <w:shd w:fill="auto" w:val="clear"/>
            <w:vertAlign w:val="baseline"/>
            <w:rtl w:val="0"/>
          </w:rPr>
          <w:t xml:space="preserve">, vol. 39, no. 3, May 2022, pp. 239–46. </w:t>
        </w:r>
      </w:hyperlink>
      <w:hyperlink r:id="rId75">
        <w:r w:rsidDel="00000000" w:rsidR="00000000" w:rsidRPr="00000000">
          <w:rPr>
            <w:i w:val="1"/>
            <w:shd w:fill="auto" w:val="clear"/>
            <w:vertAlign w:val="baseline"/>
            <w:rtl w:val="0"/>
          </w:rPr>
          <w:t xml:space="preserve">Taylor and Francis+NEJM</w:t>
        </w:r>
      </w:hyperlink>
      <w:hyperlink r:id="rId76">
        <w:r w:rsidDel="00000000" w:rsidR="00000000" w:rsidRPr="00000000">
          <w:rPr>
            <w:shd w:fill="auto" w:val="clear"/>
            <w:vertAlign w:val="baseline"/>
            <w:rtl w:val="0"/>
          </w:rPr>
          <w:t xml:space="preserve">, https://doi.org/10.1080/15295036.2022.2080844.</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pPr>
      <w:hyperlink r:id="rId77">
        <w:r w:rsidDel="00000000" w:rsidR="00000000" w:rsidRPr="00000000">
          <w:rPr>
            <w:shd w:fill="auto" w:val="clear"/>
            <w:vertAlign w:val="baseline"/>
            <w:rtl w:val="0"/>
          </w:rPr>
          <w:t xml:space="preserve">Vasquez, Vivian. “What Pokémon Can Teach Us about Learning and Literacy.” </w:t>
        </w:r>
      </w:hyperlink>
      <w:hyperlink r:id="rId78">
        <w:r w:rsidDel="00000000" w:rsidR="00000000" w:rsidRPr="00000000">
          <w:rPr>
            <w:i w:val="1"/>
            <w:shd w:fill="auto" w:val="clear"/>
            <w:vertAlign w:val="baseline"/>
            <w:rtl w:val="0"/>
          </w:rPr>
          <w:t xml:space="preserve">Language Arts</w:t>
        </w:r>
      </w:hyperlink>
      <w:hyperlink r:id="rId79">
        <w:r w:rsidDel="00000000" w:rsidR="00000000" w:rsidRPr="00000000">
          <w:rPr>
            <w:shd w:fill="auto" w:val="clear"/>
            <w:vertAlign w:val="baseline"/>
            <w:rtl w:val="0"/>
          </w:rPr>
          <w:t xml:space="preserve">, vol. 81, no. 2, 2003, pp. 118–25.</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pPr>
      <w:r w:rsidDel="00000000" w:rsidR="00000000" w:rsidRPr="00000000">
        <w:rPr>
          <w:rtl w:val="0"/>
        </w:rPr>
      </w:r>
    </w:p>
    <w:p w:rsidR="00000000" w:rsidDel="00000000" w:rsidP="00000000" w:rsidRDefault="00000000" w:rsidRPr="00000000" w14:paraId="00000040">
      <w:pPr>
        <w:widowControl w:val="0"/>
        <w:shd w:fill="ffffff" w:val="clear"/>
        <w:spacing w:after="0" w:before="0" w:line="240" w:lineRule="auto"/>
        <w:rPr>
          <w:i w:val="1"/>
          <w:color w:val="2d3b45"/>
          <w:sz w:val="24"/>
          <w:szCs w:val="24"/>
        </w:rPr>
      </w:pPr>
      <w:r w:rsidDel="00000000" w:rsidR="00000000" w:rsidRPr="00000000">
        <w:rPr>
          <w:i w:val="1"/>
          <w:color w:val="2d3b45"/>
          <w:sz w:val="24"/>
          <w:szCs w:val="24"/>
          <w:rtl w:val="0"/>
        </w:rPr>
        <w:t xml:space="preserve">Unit One: Gender </w:t>
      </w:r>
    </w:p>
    <w:p w:rsidR="00000000" w:rsidDel="00000000" w:rsidP="00000000" w:rsidRDefault="00000000" w:rsidRPr="00000000" w14:paraId="00000041">
      <w:pPr>
        <w:widowControl w:val="0"/>
        <w:shd w:fill="ffffff" w:val="clear"/>
        <w:spacing w:after="0" w:before="0" w:line="240" w:lineRule="auto"/>
        <w:rPr>
          <w:i w:val="1"/>
          <w:color w:val="2d3b45"/>
          <w:sz w:val="24"/>
          <w:szCs w:val="24"/>
        </w:rPr>
      </w:pPr>
      <w:r w:rsidDel="00000000" w:rsidR="00000000" w:rsidRPr="00000000">
        <w:rPr>
          <w:i w:val="1"/>
          <w:color w:val="2d3b45"/>
          <w:sz w:val="24"/>
          <w:szCs w:val="24"/>
          <w:rtl w:val="0"/>
        </w:rPr>
        <w:t xml:space="preserve">Judith Butler Explains Gender Theory Video - </w:t>
      </w:r>
    </w:p>
    <w:p w:rsidR="00000000" w:rsidDel="00000000" w:rsidP="00000000" w:rsidRDefault="00000000" w:rsidRPr="00000000" w14:paraId="00000042">
      <w:pPr>
        <w:widowControl w:val="0"/>
        <w:shd w:fill="ffffff" w:val="clear"/>
        <w:spacing w:after="0" w:before="0" w:line="240" w:lineRule="auto"/>
        <w:rPr>
          <w:color w:val="2d3b45"/>
          <w:sz w:val="24"/>
          <w:szCs w:val="24"/>
        </w:rPr>
      </w:pPr>
      <w:r w:rsidDel="00000000" w:rsidR="00000000" w:rsidRPr="00000000">
        <w:rPr>
          <w:color w:val="2d3b45"/>
          <w:sz w:val="24"/>
          <w:szCs w:val="24"/>
          <w:rtl w:val="0"/>
        </w:rPr>
        <w:t xml:space="preserve">Many perspectives, does not see their own position as authoritative </w:t>
      </w:r>
    </w:p>
    <w:p w:rsidR="00000000" w:rsidDel="00000000" w:rsidP="00000000" w:rsidRDefault="00000000" w:rsidRPr="00000000" w14:paraId="00000043">
      <w:pPr>
        <w:widowControl w:val="0"/>
        <w:numPr>
          <w:ilvl w:val="0"/>
          <w:numId w:val="8"/>
        </w:numPr>
        <w:shd w:fill="ffffff" w:val="clear"/>
        <w:spacing w:after="0" w:before="0" w:line="240" w:lineRule="auto"/>
        <w:ind w:left="1100" w:hanging="360"/>
      </w:pPr>
      <w:r w:rsidDel="00000000" w:rsidR="00000000" w:rsidRPr="00000000">
        <w:rPr>
          <w:color w:val="2d3b45"/>
          <w:sz w:val="24"/>
          <w:szCs w:val="24"/>
          <w:rtl w:val="0"/>
        </w:rPr>
        <w:t xml:space="preserve">Gender Trouble &amp; Bodies that Matter (1990s) </w:t>
      </w:r>
    </w:p>
    <w:p w:rsidR="00000000" w:rsidDel="00000000" w:rsidP="00000000" w:rsidRDefault="00000000" w:rsidRPr="00000000" w14:paraId="00000044">
      <w:pPr>
        <w:widowControl w:val="0"/>
        <w:numPr>
          <w:ilvl w:val="0"/>
          <w:numId w:val="8"/>
        </w:numPr>
        <w:shd w:fill="ffffff" w:val="clear"/>
        <w:spacing w:after="0" w:before="0" w:line="240" w:lineRule="auto"/>
        <w:ind w:left="1100" w:hanging="360"/>
      </w:pPr>
      <w:r w:rsidDel="00000000" w:rsidR="00000000" w:rsidRPr="00000000">
        <w:rPr>
          <w:color w:val="2d3b45"/>
          <w:sz w:val="24"/>
          <w:szCs w:val="24"/>
          <w:rtl w:val="0"/>
        </w:rPr>
        <w:t xml:space="preserve">Sees assault on gender as an assault on democracy </w:t>
      </w:r>
    </w:p>
    <w:p w:rsidR="00000000" w:rsidDel="00000000" w:rsidP="00000000" w:rsidRDefault="00000000" w:rsidRPr="00000000" w14:paraId="00000045">
      <w:pPr>
        <w:widowControl w:val="0"/>
        <w:numPr>
          <w:ilvl w:val="0"/>
          <w:numId w:val="8"/>
        </w:numPr>
        <w:shd w:fill="ffffff" w:val="clear"/>
        <w:spacing w:after="0" w:before="0" w:line="240" w:lineRule="auto"/>
        <w:ind w:left="1100" w:hanging="360"/>
      </w:pPr>
      <w:r w:rsidDel="00000000" w:rsidR="00000000" w:rsidRPr="00000000">
        <w:rPr>
          <w:color w:val="2d3b45"/>
          <w:sz w:val="24"/>
          <w:szCs w:val="24"/>
          <w:rtl w:val="0"/>
        </w:rPr>
        <w:t xml:space="preserve">Holocaust Connection - Butler Jewish themself </w:t>
      </w:r>
    </w:p>
    <w:p w:rsidR="00000000" w:rsidDel="00000000" w:rsidP="00000000" w:rsidRDefault="00000000" w:rsidRPr="00000000" w14:paraId="00000046">
      <w:pPr>
        <w:widowControl w:val="0"/>
        <w:numPr>
          <w:ilvl w:val="0"/>
          <w:numId w:val="8"/>
        </w:numPr>
        <w:shd w:fill="ffffff" w:val="clear"/>
        <w:spacing w:after="0" w:before="0" w:line="240" w:lineRule="auto"/>
        <w:ind w:left="1100" w:hanging="360"/>
      </w:pPr>
      <w:r w:rsidDel="00000000" w:rsidR="00000000" w:rsidRPr="00000000">
        <w:rPr>
          <w:color w:val="2d3b45"/>
          <w:sz w:val="24"/>
          <w:szCs w:val="24"/>
          <w:rtl w:val="0"/>
        </w:rPr>
        <w:t xml:space="preserve">Intersectional perspective on marginalization </w:t>
      </w:r>
    </w:p>
    <w:p w:rsidR="00000000" w:rsidDel="00000000" w:rsidP="00000000" w:rsidRDefault="00000000" w:rsidRPr="00000000" w14:paraId="00000047">
      <w:pPr>
        <w:widowControl w:val="0"/>
        <w:numPr>
          <w:ilvl w:val="0"/>
          <w:numId w:val="8"/>
        </w:numPr>
        <w:shd w:fill="ffffff" w:val="clear"/>
        <w:spacing w:after="0" w:before="0" w:line="240" w:lineRule="auto"/>
        <w:ind w:left="1100" w:hanging="360"/>
      </w:pPr>
      <w:r w:rsidDel="00000000" w:rsidR="00000000" w:rsidRPr="00000000">
        <w:rPr>
          <w:color w:val="2d3b45"/>
          <w:sz w:val="24"/>
          <w:szCs w:val="24"/>
          <w:rtl w:val="0"/>
        </w:rPr>
        <w:t xml:space="preserve">Queer Theory in the 1970s and 1980s; complicated relationship with feminism</w:t>
      </w:r>
    </w:p>
    <w:p w:rsidR="00000000" w:rsidDel="00000000" w:rsidP="00000000" w:rsidRDefault="00000000" w:rsidRPr="00000000" w14:paraId="00000048">
      <w:pPr>
        <w:widowControl w:val="0"/>
        <w:numPr>
          <w:ilvl w:val="1"/>
          <w:numId w:val="8"/>
        </w:numPr>
        <w:spacing w:after="0" w:before="0" w:line="240" w:lineRule="auto"/>
        <w:ind w:left="2200" w:hanging="360"/>
      </w:pPr>
      <w:r w:rsidDel="00000000" w:rsidR="00000000" w:rsidRPr="00000000">
        <w:rPr>
          <w:color w:val="2d3b45"/>
          <w:sz w:val="24"/>
          <w:szCs w:val="24"/>
          <w:rtl w:val="0"/>
        </w:rPr>
        <w:t xml:space="preserve">Claims trans issues have not yet arisen as contemporary but that sounds fake</w:t>
      </w:r>
    </w:p>
    <w:p w:rsidR="00000000" w:rsidDel="00000000" w:rsidP="00000000" w:rsidRDefault="00000000" w:rsidRPr="00000000" w14:paraId="00000049">
      <w:pPr>
        <w:widowControl w:val="0"/>
        <w:numPr>
          <w:ilvl w:val="0"/>
          <w:numId w:val="8"/>
        </w:numPr>
        <w:shd w:fill="ffffff" w:val="clear"/>
        <w:spacing w:after="0" w:before="0" w:line="240" w:lineRule="auto"/>
        <w:ind w:left="1100" w:hanging="360"/>
      </w:pPr>
      <w:r w:rsidDel="00000000" w:rsidR="00000000" w:rsidRPr="00000000">
        <w:rPr>
          <w:color w:val="2d3b45"/>
          <w:sz w:val="24"/>
          <w:szCs w:val="24"/>
          <w:rtl w:val="0"/>
        </w:rPr>
        <w:t xml:space="preserve">Versions of “Feminism”  Butler Rejects - Feminine as Mother, Feminine as hetero </w:t>
      </w:r>
    </w:p>
    <w:p w:rsidR="00000000" w:rsidDel="00000000" w:rsidP="00000000" w:rsidRDefault="00000000" w:rsidRPr="00000000" w14:paraId="0000004A">
      <w:pPr>
        <w:widowControl w:val="0"/>
        <w:numPr>
          <w:ilvl w:val="0"/>
          <w:numId w:val="8"/>
        </w:numPr>
        <w:shd w:fill="ffffff" w:val="clear"/>
        <w:spacing w:after="0" w:before="0" w:line="240" w:lineRule="auto"/>
        <w:ind w:left="1100" w:hanging="360"/>
      </w:pPr>
      <w:r w:rsidDel="00000000" w:rsidR="00000000" w:rsidRPr="00000000">
        <w:rPr>
          <w:color w:val="2d3b45"/>
          <w:sz w:val="24"/>
          <w:szCs w:val="24"/>
          <w:rtl w:val="0"/>
        </w:rPr>
        <w:t xml:space="preserve">Sex /=/ Gender, nor do either determine how you live your life</w:t>
      </w:r>
    </w:p>
    <w:p w:rsidR="00000000" w:rsidDel="00000000" w:rsidP="00000000" w:rsidRDefault="00000000" w:rsidRPr="00000000" w14:paraId="0000004B">
      <w:pPr>
        <w:widowControl w:val="0"/>
        <w:numPr>
          <w:ilvl w:val="0"/>
          <w:numId w:val="8"/>
        </w:numPr>
        <w:shd w:fill="ffffff" w:val="clear"/>
        <w:spacing w:after="0" w:before="0" w:line="240" w:lineRule="auto"/>
        <w:ind w:left="1100" w:hanging="360"/>
      </w:pPr>
      <w:r w:rsidDel="00000000" w:rsidR="00000000" w:rsidRPr="00000000">
        <w:rPr>
          <w:color w:val="2d3b45"/>
          <w:sz w:val="24"/>
          <w:szCs w:val="24"/>
          <w:rtl w:val="0"/>
        </w:rPr>
        <w:t xml:space="preserve">Before Butler: Simone de Beauvoir ‘The Second Sex’ </w:t>
      </w:r>
    </w:p>
    <w:p w:rsidR="00000000" w:rsidDel="00000000" w:rsidP="00000000" w:rsidRDefault="00000000" w:rsidRPr="00000000" w14:paraId="0000004C">
      <w:pPr>
        <w:widowControl w:val="0"/>
        <w:numPr>
          <w:ilvl w:val="0"/>
          <w:numId w:val="8"/>
        </w:numPr>
        <w:shd w:fill="ffffff" w:val="clear"/>
        <w:spacing w:after="0" w:before="0" w:line="240" w:lineRule="auto"/>
        <w:ind w:left="1100" w:hanging="360"/>
      </w:pPr>
      <w:r w:rsidDel="00000000" w:rsidR="00000000" w:rsidRPr="00000000">
        <w:rPr>
          <w:color w:val="2d3b45"/>
          <w:sz w:val="24"/>
          <w:szCs w:val="24"/>
          <w:rtl w:val="0"/>
        </w:rPr>
        <w:t xml:space="preserve">Gayle Rubin - Traffic in the Middle </w:t>
      </w:r>
    </w:p>
    <w:p w:rsidR="00000000" w:rsidDel="00000000" w:rsidP="00000000" w:rsidRDefault="00000000" w:rsidRPr="00000000" w14:paraId="0000004D">
      <w:pPr>
        <w:widowControl w:val="0"/>
        <w:numPr>
          <w:ilvl w:val="0"/>
          <w:numId w:val="8"/>
        </w:numPr>
        <w:shd w:fill="ffffff" w:val="clear"/>
        <w:spacing w:after="0" w:before="0" w:line="240" w:lineRule="auto"/>
        <w:ind w:left="1100" w:hanging="360"/>
      </w:pPr>
      <w:r w:rsidDel="00000000" w:rsidR="00000000" w:rsidRPr="00000000">
        <w:rPr>
          <w:color w:val="2d3b45"/>
          <w:sz w:val="24"/>
          <w:szCs w:val="24"/>
          <w:rtl w:val="0"/>
        </w:rPr>
        <w:t xml:space="preserve">Gender, something we make and remake </w:t>
      </w:r>
    </w:p>
    <w:p w:rsidR="00000000" w:rsidDel="00000000" w:rsidP="00000000" w:rsidRDefault="00000000" w:rsidRPr="00000000" w14:paraId="0000004E">
      <w:pPr>
        <w:widowControl w:val="0"/>
        <w:numPr>
          <w:ilvl w:val="0"/>
          <w:numId w:val="8"/>
        </w:numPr>
        <w:shd w:fill="ffffff" w:val="clear"/>
        <w:spacing w:after="0" w:before="0" w:line="240" w:lineRule="auto"/>
        <w:ind w:left="1100" w:hanging="360"/>
      </w:pPr>
      <w:r w:rsidDel="00000000" w:rsidR="00000000" w:rsidRPr="00000000">
        <w:rPr>
          <w:color w:val="2d3b45"/>
          <w:sz w:val="24"/>
          <w:szCs w:val="24"/>
          <w:rtl w:val="0"/>
        </w:rPr>
        <w:t xml:space="preserve">Comparison to a ‘declaration’ of what happens when people are announced as man/wife</w:t>
      </w:r>
    </w:p>
    <w:p w:rsidR="00000000" w:rsidDel="00000000" w:rsidP="00000000" w:rsidRDefault="00000000" w:rsidRPr="00000000" w14:paraId="0000004F">
      <w:pPr>
        <w:widowControl w:val="0"/>
        <w:numPr>
          <w:ilvl w:val="0"/>
          <w:numId w:val="8"/>
        </w:numPr>
        <w:shd w:fill="ffffff" w:val="clear"/>
        <w:spacing w:after="0" w:before="0" w:line="240" w:lineRule="auto"/>
        <w:ind w:left="1100" w:hanging="360"/>
      </w:pPr>
      <w:r w:rsidDel="00000000" w:rsidR="00000000" w:rsidRPr="00000000">
        <w:rPr>
          <w:color w:val="2d3b45"/>
          <w:sz w:val="24"/>
          <w:szCs w:val="24"/>
          <w:rtl w:val="0"/>
        </w:rPr>
        <w:t xml:space="preserve">“In the U.S. we learned how to talk about Black People differently” - definitely rocking that older white boomer vibe but I get their point. ‘Stumbling is part of learning.’ </w:t>
      </w:r>
    </w:p>
    <w:p w:rsidR="00000000" w:rsidDel="00000000" w:rsidP="00000000" w:rsidRDefault="00000000" w:rsidRPr="00000000" w14:paraId="00000050">
      <w:pPr>
        <w:widowControl w:val="0"/>
        <w:numPr>
          <w:ilvl w:val="0"/>
          <w:numId w:val="8"/>
        </w:numPr>
        <w:shd w:fill="ffffff" w:val="clear"/>
        <w:spacing w:after="0" w:before="0" w:line="240" w:lineRule="auto"/>
        <w:ind w:left="1100" w:hanging="360"/>
      </w:pPr>
      <w:r w:rsidDel="00000000" w:rsidR="00000000" w:rsidRPr="00000000">
        <w:rPr>
          <w:color w:val="2d3b45"/>
          <w:sz w:val="24"/>
          <w:szCs w:val="24"/>
          <w:rtl w:val="0"/>
        </w:rPr>
        <w:t xml:space="preserve">Accept challenges to our way of thinking </w:t>
      </w:r>
    </w:p>
    <w:p w:rsidR="00000000" w:rsidDel="00000000" w:rsidP="00000000" w:rsidRDefault="00000000" w:rsidRPr="00000000" w14:paraId="00000051">
      <w:pPr>
        <w:widowControl w:val="0"/>
        <w:numPr>
          <w:ilvl w:val="0"/>
          <w:numId w:val="8"/>
        </w:numPr>
        <w:shd w:fill="ffffff" w:val="clear"/>
        <w:spacing w:after="0" w:before="0" w:line="240" w:lineRule="auto"/>
        <w:ind w:left="1100" w:hanging="360"/>
      </w:pPr>
      <w:r w:rsidDel="00000000" w:rsidR="00000000" w:rsidRPr="00000000">
        <w:rPr>
          <w:color w:val="2d3b45"/>
          <w:sz w:val="24"/>
          <w:szCs w:val="24"/>
          <w:rtl w:val="0"/>
        </w:rPr>
        <w:t xml:space="preserve">Less interested in defending theory of gender, more concerned about “attack” on gender </w:t>
      </w:r>
    </w:p>
    <w:p w:rsidR="00000000" w:rsidDel="00000000" w:rsidP="00000000" w:rsidRDefault="00000000" w:rsidRPr="00000000" w14:paraId="00000052">
      <w:pPr>
        <w:widowControl w:val="0"/>
        <w:numPr>
          <w:ilvl w:val="0"/>
          <w:numId w:val="8"/>
        </w:numPr>
        <w:shd w:fill="ffffff" w:val="clear"/>
        <w:spacing w:after="0" w:before="0" w:line="240" w:lineRule="auto"/>
        <w:ind w:left="1100" w:hanging="360"/>
      </w:pPr>
      <w:r w:rsidDel="00000000" w:rsidR="00000000" w:rsidRPr="00000000">
        <w:rPr>
          <w:color w:val="2d3b45"/>
          <w:sz w:val="24"/>
          <w:szCs w:val="24"/>
          <w:rtl w:val="0"/>
        </w:rPr>
        <w:t xml:space="preserve">Trans people as ‘destabalizing’ for people who feel their gender is fixed. </w:t>
      </w:r>
    </w:p>
    <w:p w:rsidR="00000000" w:rsidDel="00000000" w:rsidP="00000000" w:rsidRDefault="00000000" w:rsidRPr="00000000" w14:paraId="00000053">
      <w:pPr>
        <w:widowControl w:val="0"/>
        <w:numPr>
          <w:ilvl w:val="0"/>
          <w:numId w:val="8"/>
        </w:numPr>
        <w:shd w:fill="ffffff" w:val="clear"/>
        <w:spacing w:after="0" w:before="0" w:line="240" w:lineRule="auto"/>
        <w:ind w:left="1100" w:hanging="360"/>
      </w:pPr>
      <w:r w:rsidDel="00000000" w:rsidR="00000000" w:rsidRPr="00000000">
        <w:rPr>
          <w:color w:val="2d3b45"/>
          <w:sz w:val="24"/>
          <w:szCs w:val="24"/>
          <w:rtl w:val="0"/>
        </w:rPr>
        <w:t xml:space="preserve">Deepest sense of self formed in time</w:t>
      </w:r>
    </w:p>
    <w:p w:rsidR="00000000" w:rsidDel="00000000" w:rsidP="00000000" w:rsidRDefault="00000000" w:rsidRPr="00000000" w14:paraId="00000054">
      <w:pPr>
        <w:widowControl w:val="0"/>
        <w:numPr>
          <w:ilvl w:val="0"/>
          <w:numId w:val="8"/>
        </w:numPr>
        <w:shd w:fill="ffffff" w:val="clear"/>
        <w:spacing w:after="0" w:before="0" w:line="240" w:lineRule="auto"/>
        <w:ind w:left="1100" w:hanging="360"/>
      </w:pPr>
      <w:r w:rsidDel="00000000" w:rsidR="00000000" w:rsidRPr="00000000">
        <w:rPr>
          <w:color w:val="2d3b45"/>
          <w:sz w:val="24"/>
          <w:szCs w:val="24"/>
          <w:rtl w:val="0"/>
        </w:rPr>
        <w:t xml:space="preserve">“Who is equal? Who has the right to be free? How do we define justice?” </w:t>
      </w:r>
    </w:p>
    <w:p w:rsidR="00000000" w:rsidDel="00000000" w:rsidP="00000000" w:rsidRDefault="00000000" w:rsidRPr="00000000" w14:paraId="00000055">
      <w:pPr>
        <w:widowControl w:val="0"/>
        <w:numPr>
          <w:ilvl w:val="0"/>
          <w:numId w:val="8"/>
        </w:numPr>
        <w:shd w:fill="ffffff" w:val="clear"/>
        <w:spacing w:after="0" w:before="0" w:line="240" w:lineRule="auto"/>
        <w:ind w:left="1100" w:hanging="360"/>
      </w:pPr>
      <w:r w:rsidDel="00000000" w:rsidR="00000000" w:rsidRPr="00000000">
        <w:rPr>
          <w:color w:val="2d3b45"/>
          <w:sz w:val="24"/>
          <w:szCs w:val="24"/>
          <w:rtl w:val="0"/>
        </w:rPr>
        <w:t xml:space="preserve">“My whole life I’ve wanted to take a break from Gender!”  </w:t>
      </w:r>
    </w:p>
    <w:p w:rsidR="00000000" w:rsidDel="00000000" w:rsidP="00000000" w:rsidRDefault="00000000" w:rsidRPr="00000000" w14:paraId="00000056">
      <w:pPr>
        <w:widowControl w:val="0"/>
        <w:shd w:fill="ffffff" w:val="clear"/>
        <w:spacing w:after="0" w:before="0" w:line="240" w:lineRule="auto"/>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057">
      <w:pPr>
        <w:widowControl w:val="0"/>
        <w:shd w:fill="ffffff" w:val="clear"/>
        <w:spacing w:after="0" w:before="0" w:line="240" w:lineRule="auto"/>
        <w:rPr>
          <w:i w:val="1"/>
          <w:color w:val="2d3b45"/>
          <w:sz w:val="24"/>
          <w:szCs w:val="24"/>
        </w:rPr>
      </w:pPr>
      <w:r w:rsidDel="00000000" w:rsidR="00000000" w:rsidRPr="00000000">
        <w:rPr>
          <w:i w:val="1"/>
          <w:color w:val="2d3b45"/>
          <w:sz w:val="24"/>
          <w:szCs w:val="24"/>
          <w:rtl w:val="0"/>
        </w:rPr>
        <w:t xml:space="preserve">TedTalk -  Lee Mokobe </w:t>
      </w:r>
    </w:p>
    <w:p w:rsidR="00000000" w:rsidDel="00000000" w:rsidP="00000000" w:rsidRDefault="00000000" w:rsidRPr="00000000" w14:paraId="00000058">
      <w:pPr>
        <w:widowControl w:val="0"/>
        <w:numPr>
          <w:ilvl w:val="0"/>
          <w:numId w:val="5"/>
        </w:numPr>
        <w:shd w:fill="ffffff" w:val="clear"/>
        <w:spacing w:after="0" w:before="0" w:line="240" w:lineRule="auto"/>
        <w:ind w:left="1100" w:hanging="360"/>
      </w:pPr>
      <w:r w:rsidDel="00000000" w:rsidR="00000000" w:rsidRPr="00000000">
        <w:rPr>
          <w:color w:val="2d3b45"/>
          <w:sz w:val="24"/>
          <w:szCs w:val="24"/>
          <w:rtl w:val="0"/>
        </w:rPr>
        <w:t xml:space="preserve">This poem is so gorgeous I just cried. </w:t>
      </w:r>
    </w:p>
    <w:p w:rsidR="00000000" w:rsidDel="00000000" w:rsidP="00000000" w:rsidRDefault="00000000" w:rsidRPr="00000000" w14:paraId="00000059">
      <w:pPr>
        <w:widowControl w:val="0"/>
        <w:numPr>
          <w:ilvl w:val="0"/>
          <w:numId w:val="5"/>
        </w:numPr>
        <w:shd w:fill="ffffff" w:val="clear"/>
        <w:spacing w:after="0" w:before="0" w:line="240" w:lineRule="auto"/>
        <w:ind w:left="1100" w:hanging="360"/>
      </w:pPr>
      <w:r w:rsidDel="00000000" w:rsidR="00000000" w:rsidRPr="00000000">
        <w:rPr>
          <w:color w:val="2d3b45"/>
          <w:sz w:val="24"/>
          <w:szCs w:val="24"/>
          <w:rtl w:val="0"/>
        </w:rPr>
        <w:t xml:space="preserve">“Oncoming traffic is embracing more trans children than their parents.” </w:t>
      </w:r>
    </w:p>
    <w:p w:rsidR="00000000" w:rsidDel="00000000" w:rsidP="00000000" w:rsidRDefault="00000000" w:rsidRPr="00000000" w14:paraId="0000005A">
      <w:pPr>
        <w:widowControl w:val="0"/>
        <w:numPr>
          <w:ilvl w:val="0"/>
          <w:numId w:val="5"/>
        </w:numPr>
        <w:shd w:fill="ffffff" w:val="clear"/>
        <w:spacing w:after="0" w:before="0" w:line="240" w:lineRule="auto"/>
        <w:ind w:left="1100" w:hanging="360"/>
      </w:pPr>
      <w:r w:rsidDel="00000000" w:rsidR="00000000" w:rsidRPr="00000000">
        <w:rPr>
          <w:color w:val="2d3b45"/>
          <w:sz w:val="24"/>
          <w:szCs w:val="24"/>
          <w:rtl w:val="0"/>
        </w:rPr>
        <w:t xml:space="preserve">It is so important to me that the example of a transmasculine poet provided in this TedTalk is a black South African person. The attention to intersectionality here is so meaningful to me.  </w:t>
      </w:r>
    </w:p>
    <w:p w:rsidR="00000000" w:rsidDel="00000000" w:rsidP="00000000" w:rsidRDefault="00000000" w:rsidRPr="00000000" w14:paraId="0000005B">
      <w:pPr>
        <w:widowControl w:val="0"/>
        <w:shd w:fill="ffffff" w:val="clear"/>
        <w:spacing w:after="0" w:before="0" w:line="240" w:lineRule="auto"/>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05C">
      <w:pPr>
        <w:widowControl w:val="0"/>
        <w:shd w:fill="ffffff" w:val="clear"/>
        <w:spacing w:after="0" w:before="0" w:line="240" w:lineRule="auto"/>
        <w:rPr>
          <w:color w:val="2d3b45"/>
          <w:sz w:val="24"/>
          <w:szCs w:val="24"/>
        </w:rPr>
      </w:pPr>
      <w:r w:rsidDel="00000000" w:rsidR="00000000" w:rsidRPr="00000000">
        <w:rPr>
          <w:color w:val="2d3b45"/>
          <w:sz w:val="24"/>
          <w:szCs w:val="24"/>
          <w:rtl w:val="0"/>
        </w:rPr>
        <w:t xml:space="preserve">Chapters 1 &amp; 2 of Threshold Concepts in Women and Gender Studies </w:t>
      </w:r>
    </w:p>
    <w:p w:rsidR="00000000" w:rsidDel="00000000" w:rsidP="00000000" w:rsidRDefault="00000000" w:rsidRPr="00000000" w14:paraId="0000005D">
      <w:pPr>
        <w:widowControl w:val="0"/>
        <w:numPr>
          <w:ilvl w:val="0"/>
          <w:numId w:val="6"/>
        </w:numPr>
        <w:shd w:fill="ffffff" w:val="clear"/>
        <w:spacing w:after="0" w:before="0" w:line="240" w:lineRule="auto"/>
        <w:ind w:left="1100" w:hanging="360"/>
      </w:pPr>
      <w:r w:rsidDel="00000000" w:rsidR="00000000" w:rsidRPr="00000000">
        <w:rPr>
          <w:color w:val="2d3b45"/>
          <w:sz w:val="24"/>
          <w:szCs w:val="24"/>
          <w:rtl w:val="0"/>
        </w:rPr>
        <w:t xml:space="preserve">Chapter One - Introduction: Primer on roadblocks to feminism/misconceptions, global women's issues, waves of feminism, intersections of trans issues, core legislation (Roe V. Wade, ERA) -- Pre-Roe v. Wade overturn publication  </w:t>
      </w:r>
    </w:p>
    <w:p w:rsidR="00000000" w:rsidDel="00000000" w:rsidP="00000000" w:rsidRDefault="00000000" w:rsidRPr="00000000" w14:paraId="0000005E">
      <w:pPr>
        <w:widowControl w:val="0"/>
        <w:numPr>
          <w:ilvl w:val="0"/>
          <w:numId w:val="6"/>
        </w:numPr>
        <w:shd w:fill="ffffff" w:val="clear"/>
        <w:spacing w:after="0" w:before="0" w:line="240" w:lineRule="auto"/>
        <w:ind w:left="1100" w:hanging="360"/>
      </w:pPr>
      <w:r w:rsidDel="00000000" w:rsidR="00000000" w:rsidRPr="00000000">
        <w:rPr>
          <w:color w:val="2d3b45"/>
          <w:sz w:val="24"/>
          <w:szCs w:val="24"/>
          <w:rtl w:val="0"/>
        </w:rPr>
        <w:t xml:space="preserve">Chapter Two - The Social Construction of Gender</w:t>
      </w:r>
    </w:p>
    <w:p w:rsidR="00000000" w:rsidDel="00000000" w:rsidP="00000000" w:rsidRDefault="00000000" w:rsidRPr="00000000" w14:paraId="0000005F">
      <w:pPr>
        <w:widowControl w:val="0"/>
        <w:numPr>
          <w:ilvl w:val="1"/>
          <w:numId w:val="6"/>
        </w:numPr>
        <w:spacing w:after="0" w:before="0" w:line="240" w:lineRule="auto"/>
        <w:ind w:left="2200" w:hanging="360"/>
      </w:pPr>
      <w:r w:rsidDel="00000000" w:rsidR="00000000" w:rsidRPr="00000000">
        <w:rPr>
          <w:color w:val="2d3b45"/>
          <w:sz w:val="24"/>
          <w:szCs w:val="24"/>
          <w:rtl w:val="0"/>
        </w:rPr>
        <w:t xml:space="preserve">Gender Unicorn (Whoo!) Differences in sex, gender expression, romantic attraction and physical attraction </w:t>
      </w:r>
    </w:p>
    <w:p w:rsidR="00000000" w:rsidDel="00000000" w:rsidP="00000000" w:rsidRDefault="00000000" w:rsidRPr="00000000" w14:paraId="00000060">
      <w:pPr>
        <w:widowControl w:val="0"/>
        <w:numPr>
          <w:ilvl w:val="1"/>
          <w:numId w:val="6"/>
        </w:numPr>
        <w:spacing w:after="0" w:before="0" w:line="240" w:lineRule="auto"/>
        <w:ind w:left="2200" w:hanging="360"/>
      </w:pPr>
      <w:r w:rsidDel="00000000" w:rsidR="00000000" w:rsidRPr="00000000">
        <w:rPr>
          <w:color w:val="2d3b45"/>
          <w:sz w:val="24"/>
          <w:szCs w:val="24"/>
          <w:rtl w:val="0"/>
        </w:rPr>
        <w:t xml:space="preserve">Limitations of U.S. current legal document system</w:t>
      </w:r>
    </w:p>
    <w:p w:rsidR="00000000" w:rsidDel="00000000" w:rsidP="00000000" w:rsidRDefault="00000000" w:rsidRPr="00000000" w14:paraId="00000061">
      <w:pPr>
        <w:widowControl w:val="0"/>
        <w:numPr>
          <w:ilvl w:val="1"/>
          <w:numId w:val="6"/>
        </w:numPr>
        <w:spacing w:after="0" w:before="0" w:line="240" w:lineRule="auto"/>
        <w:ind w:left="2200" w:hanging="360"/>
      </w:pPr>
      <w:r w:rsidDel="00000000" w:rsidR="00000000" w:rsidRPr="00000000">
        <w:rPr>
          <w:color w:val="2d3b45"/>
          <w:sz w:val="24"/>
          <w:szCs w:val="24"/>
          <w:rtl w:val="0"/>
        </w:rPr>
        <w:t xml:space="preserve">Intersections with: disability, pop culture, politics, athletics, and so on </w:t>
      </w:r>
    </w:p>
    <w:p w:rsidR="00000000" w:rsidDel="00000000" w:rsidP="00000000" w:rsidRDefault="00000000" w:rsidRPr="00000000" w14:paraId="00000062">
      <w:pPr>
        <w:widowControl w:val="0"/>
        <w:numPr>
          <w:ilvl w:val="1"/>
          <w:numId w:val="6"/>
        </w:numPr>
        <w:spacing w:after="0" w:before="0" w:line="240" w:lineRule="auto"/>
        <w:ind w:left="2200" w:hanging="360"/>
      </w:pPr>
      <w:r w:rsidDel="00000000" w:rsidR="00000000" w:rsidRPr="00000000">
        <w:rPr>
          <w:color w:val="2d3b45"/>
          <w:sz w:val="24"/>
          <w:szCs w:val="24"/>
          <w:rtl w:val="0"/>
        </w:rPr>
        <w:t xml:space="preserve">Gender career segregation </w:t>
      </w:r>
    </w:p>
    <w:p w:rsidR="00000000" w:rsidDel="00000000" w:rsidP="00000000" w:rsidRDefault="00000000" w:rsidRPr="00000000" w14:paraId="00000063">
      <w:pPr>
        <w:widowControl w:val="0"/>
        <w:shd w:fill="ffffff" w:val="clear"/>
        <w:spacing w:after="0" w:before="0" w:line="240" w:lineRule="auto"/>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064">
      <w:pPr>
        <w:widowControl w:val="0"/>
        <w:shd w:fill="ffffff" w:val="clear"/>
        <w:spacing w:after="0" w:before="0" w:line="240" w:lineRule="auto"/>
        <w:rPr>
          <w:i w:val="1"/>
          <w:color w:val="2d3b45"/>
          <w:sz w:val="24"/>
          <w:szCs w:val="24"/>
        </w:rPr>
      </w:pPr>
      <w:r w:rsidDel="00000000" w:rsidR="00000000" w:rsidRPr="00000000">
        <w:rPr>
          <w:i w:val="1"/>
          <w:color w:val="2d3b45"/>
          <w:sz w:val="24"/>
          <w:szCs w:val="24"/>
          <w:rtl w:val="0"/>
        </w:rPr>
        <w:t xml:space="preserve">Reflective Statement: </w:t>
      </w:r>
    </w:p>
    <w:p w:rsidR="00000000" w:rsidDel="00000000" w:rsidP="00000000" w:rsidRDefault="00000000" w:rsidRPr="00000000" w14:paraId="00000065">
      <w:pPr>
        <w:widowControl w:val="0"/>
        <w:shd w:fill="ffffff" w:val="clear"/>
        <w:spacing w:after="0" w:before="0" w:line="240" w:lineRule="auto"/>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066">
      <w:pPr>
        <w:widowControl w:val="0"/>
        <w:shd w:fill="ffffff" w:val="clear"/>
        <w:spacing w:after="0" w:before="0" w:line="240" w:lineRule="auto"/>
        <w:rPr>
          <w:color w:val="2d3b45"/>
          <w:sz w:val="24"/>
          <w:szCs w:val="24"/>
        </w:rPr>
      </w:pPr>
      <w:r w:rsidDel="00000000" w:rsidR="00000000" w:rsidRPr="00000000">
        <w:rPr>
          <w:color w:val="2d3b45"/>
          <w:sz w:val="24"/>
          <w:szCs w:val="24"/>
          <w:rtl w:val="0"/>
        </w:rPr>
        <w:t xml:space="preserve">This may sound silly, especially coming from a doctoral student who is openly queer and has been familiar with Judith Butler since someone in my high school Gay-Straight Alliance (later just called ‘Alliance’ because the local school board was afraid of the word gay, circa 2007) handed me a copy of Gender Trouble when I first asked if there was any scholarly evidence that I was not, in fact, going to burn in hell–a very important concern for then-teenaged Vee Kennedy–but I have never seen Judith Butler’s face or heard their voice before, and until now it did not occur to me that they are a human person out there actively teaching and scholaring. I suppose the odds of me actually being able to meet them are quite low, but it was so amazing to see their face and hear their voice in addition to hearing them speak about concerns present after having written their primary works in the very early 1990s. I am quite intrigued by what they call an ‘attack’ on gender – I suppose I haven’t heard it put that way before, and it’s especially intriguing for me to think of this attack in the context as also being a proposed attack on democracy. I’m not sure how I feel about gender as inherently democratic, although I suppose the parts that I’m getting stuck on with that comparison are probably not the parts that Butler is focusing on. I was also quite touched by Kee Mokobe’s beautiful performance. It’s of the utmost importance to me that the example chosen of a transmasc poet and artist is not a white, androgynous person, but rather, a black South African person with a higher voice. Far too often the examples we see don’t reflect the world, and far too often I find that this lack of representation results in criticism of gender theory as being a western concept, even though this is far from the case.</w:t>
      </w:r>
    </w:p>
    <w:p w:rsidR="00000000" w:rsidDel="00000000" w:rsidP="00000000" w:rsidRDefault="00000000" w:rsidRPr="00000000" w14:paraId="00000067">
      <w:pPr>
        <w:widowControl w:val="0"/>
        <w:shd w:fill="ffffff" w:val="clear"/>
        <w:spacing w:after="0" w:before="0" w:line="240" w:lineRule="auto"/>
        <w:rPr>
          <w:color w:val="2d3b45"/>
          <w:sz w:val="24"/>
          <w:szCs w:val="24"/>
        </w:rPr>
      </w:pPr>
      <w:r w:rsidDel="00000000" w:rsidR="00000000" w:rsidRPr="00000000">
        <w:rPr>
          <w:color w:val="2d3b45"/>
          <w:sz w:val="24"/>
          <w:szCs w:val="24"/>
          <w:rtl w:val="0"/>
        </w:rPr>
        <w:t xml:space="preserve">Hello! I’m Vee Kennedy (they/them/theirs) and I’m a full-time faculty member in the Department of Writing and Rhetoric here at UCF, where I teach in our First Year Composition Program, and also a student in our Texts &amp; Technology PhD Program. I had the privilege of taking just one Women’s &amp; Gender Studies class in undergrad, but have since followed that up with a grad course here in Gendered Rhetorics in the Department of Writing and Rhetoric as well as WST 5347 Research in Women’s and Gender Studies last summer. I’ve found these courses quite essential in terms of developing my understanding of feminist scholarship and research methods. I am particularly interested in examining indie games as a sight of queer and trans rhetorics. For my dissertation, it appears that I’ll be looking at queer and gender variant representation in the Pokemon video game franchise along with perhaps the representation of other marginalized groups such as indigenous persons. I’m still a bit early in my program so there’s a bit left to decide, but that’s the general idea so far.  </w:t>
      </w:r>
    </w:p>
    <w:p w:rsidR="00000000" w:rsidDel="00000000" w:rsidP="00000000" w:rsidRDefault="00000000" w:rsidRPr="00000000" w14:paraId="00000068">
      <w:pPr>
        <w:widowControl w:val="0"/>
        <w:shd w:fill="ffffff" w:val="clear"/>
        <w:spacing w:after="0" w:before="0" w:line="240" w:lineRule="auto"/>
        <w:rPr>
          <w:color w:val="2d3b45"/>
          <w:sz w:val="24"/>
          <w:szCs w:val="24"/>
        </w:rPr>
      </w:pPr>
      <w:r w:rsidDel="00000000" w:rsidR="00000000" w:rsidRPr="00000000">
        <w:rPr>
          <w:color w:val="2d3b45"/>
          <w:sz w:val="24"/>
          <w:szCs w:val="24"/>
          <w:rtl w:val="0"/>
        </w:rPr>
        <w:t xml:space="preserve">Before getting into my thoughts about </w:t>
      </w:r>
      <w:r w:rsidDel="00000000" w:rsidR="00000000" w:rsidRPr="00000000">
        <w:rPr>
          <w:i w:val="1"/>
          <w:color w:val="2d3b45"/>
          <w:sz w:val="24"/>
          <w:szCs w:val="24"/>
          <w:rtl w:val="0"/>
        </w:rPr>
        <w:t xml:space="preserve">Defeating Bigenderism</w:t>
      </w:r>
      <w:r w:rsidDel="00000000" w:rsidR="00000000" w:rsidRPr="00000000">
        <w:rPr>
          <w:color w:val="2d3b45"/>
          <w:sz w:val="24"/>
          <w:szCs w:val="24"/>
          <w:rtl w:val="0"/>
        </w:rPr>
        <w:t xml:space="preserve">, I’d like to disclose that I identify as nonbinary and use they/them pronouns. I am, indeed, one of the ‘outsiders’ Gilbert mentions on page 99. Despite identifying this way, I am well-aware of the fact that based on my gender expression, most people who interact with me perceive me as feminine and, although this may not be relevant, I was also assigned female at birth. I find it quite interesting that Gilbert’s article begins by quoting Judith Butler in </w:t>
      </w:r>
      <w:r w:rsidDel="00000000" w:rsidR="00000000" w:rsidRPr="00000000">
        <w:rPr>
          <w:i w:val="1"/>
          <w:color w:val="2d3b45"/>
          <w:sz w:val="24"/>
          <w:szCs w:val="24"/>
          <w:rtl w:val="0"/>
        </w:rPr>
        <w:t xml:space="preserve">Gender Trouble </w:t>
      </w:r>
      <w:r w:rsidDel="00000000" w:rsidR="00000000" w:rsidRPr="00000000">
        <w:rPr>
          <w:color w:val="2d3b45"/>
          <w:sz w:val="24"/>
          <w:szCs w:val="24"/>
          <w:rtl w:val="0"/>
        </w:rPr>
        <w:t xml:space="preserve">(1990), especially as Butler is a scholar who now also identifies as gender nonbinary. Later in the piece, Gilbert brings in quotations from Bem and Risman regarding the dismantling of androcentrism and gender as a whole when describing non-genderism. Non-genderism frankly sounds like my version of heaven, but I’m certain that my thinking this means this concept would be infeasible and undesirable to a significant majority of folks out there who do have a significant attachment to gender and gender performance, which includes a great number of people even within the queer community. I also understand that many people feel quite attached to their gender identity and expression as being inherently linked to who they are as people, and I certainly wouldn’t want to advocate for any kind of systematic change that would take these important parts of identity away from those who benefit from them. I’m simply just not one of those people. I’d say that perhaps the definition that western culture strives for now, at least in terms of popular culture, is perhaps “III. Non-binary Genderism entails no binary distinction but maintains that masculine characteristics are valued over feminine,” (pg.106). I believe this was actually one of the arguments provided by the majority justices when Roe V. Wade was overturned – that men and women are now “equal,” in the U.S., and therefore, the privacy protections once offered federally under Roe were no longer “necessary.” Of course, the pragmatic reality is still quite different here (at least in my humble opinion) but that was one of the pervasive lines touted.  </w:t>
      </w:r>
    </w:p>
    <w:p w:rsidR="00000000" w:rsidDel="00000000" w:rsidP="00000000" w:rsidRDefault="00000000" w:rsidRPr="00000000" w14:paraId="00000069">
      <w:pPr>
        <w:widowControl w:val="0"/>
        <w:shd w:fill="ffffff" w:val="clear"/>
        <w:spacing w:after="0" w:before="0" w:line="240" w:lineRule="auto"/>
        <w:rPr>
          <w:color w:val="2d3b45"/>
          <w:sz w:val="24"/>
          <w:szCs w:val="24"/>
        </w:rPr>
      </w:pPr>
      <w:r w:rsidDel="00000000" w:rsidR="00000000" w:rsidRPr="00000000">
        <w:rPr>
          <w:color w:val="2d3b45"/>
          <w:sz w:val="24"/>
          <w:szCs w:val="24"/>
          <w:rtl w:val="0"/>
        </w:rPr>
        <w:t xml:space="preserve">Gilbert, M. A. (2008). Defeating Bigenderism: Changing Gender Assumptions in the Twenty-First Century. </w:t>
      </w:r>
      <w:r w:rsidDel="00000000" w:rsidR="00000000" w:rsidRPr="00000000">
        <w:rPr>
          <w:i w:val="1"/>
          <w:color w:val="2d3b45"/>
          <w:sz w:val="24"/>
          <w:szCs w:val="24"/>
          <w:rtl w:val="0"/>
        </w:rPr>
        <w:t xml:space="preserve">Hypatia</w:t>
      </w:r>
      <w:r w:rsidDel="00000000" w:rsidR="00000000" w:rsidRPr="00000000">
        <w:rPr>
          <w:color w:val="2d3b45"/>
          <w:sz w:val="24"/>
          <w:szCs w:val="24"/>
          <w:rtl w:val="0"/>
        </w:rPr>
        <w:t xml:space="preserve">, </w:t>
      </w:r>
      <w:r w:rsidDel="00000000" w:rsidR="00000000" w:rsidRPr="00000000">
        <w:rPr>
          <w:i w:val="1"/>
          <w:color w:val="2d3b45"/>
          <w:sz w:val="24"/>
          <w:szCs w:val="24"/>
          <w:rtl w:val="0"/>
        </w:rPr>
        <w:t xml:space="preserve">24</w:t>
      </w:r>
      <w:r w:rsidDel="00000000" w:rsidR="00000000" w:rsidRPr="00000000">
        <w:rPr>
          <w:color w:val="2d3b45"/>
          <w:sz w:val="24"/>
          <w:szCs w:val="24"/>
          <w:rtl w:val="0"/>
        </w:rPr>
        <w:t xml:space="preserve">(3), 93–112.</w:t>
      </w:r>
    </w:p>
    <w:p w:rsidR="00000000" w:rsidDel="00000000" w:rsidP="00000000" w:rsidRDefault="00000000" w:rsidRPr="00000000" w14:paraId="0000006A">
      <w:pPr>
        <w:widowControl w:val="0"/>
        <w:shd w:fill="ffffff" w:val="clear"/>
        <w:spacing w:after="180" w:before="180" w:line="240" w:lineRule="auto"/>
        <w:rPr>
          <w:color w:val="2d3b45"/>
          <w:sz w:val="24"/>
          <w:szCs w:val="24"/>
        </w:rPr>
      </w:pPr>
      <w:r w:rsidDel="00000000" w:rsidR="00000000" w:rsidRPr="00000000">
        <w:rPr>
          <w:color w:val="2d3b45"/>
          <w:sz w:val="24"/>
          <w:szCs w:val="24"/>
          <w:rtl w:val="0"/>
        </w:rPr>
        <w:t xml:space="preserve">First Caveat: in my copy of Threshold Concepts, pg. 180 is part of the content pages of chapter 4. The end of chapter three has two application exercises, however, and I’ve chosen to work with one of those, specifically exercise 1, which states: “Consider the opening illustration about COVID-19 and its effect on work, family, and health. In conversation with a partner or an informal writing activity, think about how the following key concepts from this chapter are illustrated by the data presented: 1) privilege b) oppression c) institutions d) ideologies.” </w:t>
      </w:r>
    </w:p>
    <w:p w:rsidR="00000000" w:rsidDel="00000000" w:rsidP="00000000" w:rsidRDefault="00000000" w:rsidRPr="00000000" w14:paraId="0000006B">
      <w:pPr>
        <w:widowControl w:val="0"/>
        <w:shd w:fill="ffffff" w:val="clear"/>
        <w:spacing w:after="180" w:before="180" w:line="240" w:lineRule="auto"/>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06C">
      <w:pPr>
        <w:widowControl w:val="0"/>
        <w:shd w:fill="ffffff" w:val="clear"/>
        <w:spacing w:after="180" w:before="180" w:line="240" w:lineRule="auto"/>
        <w:rPr>
          <w:color w:val="2d3b45"/>
          <w:sz w:val="24"/>
          <w:szCs w:val="24"/>
        </w:rPr>
      </w:pPr>
      <w:r w:rsidDel="00000000" w:rsidR="00000000" w:rsidRPr="00000000">
        <w:rPr>
          <w:color w:val="2d3b45"/>
          <w:sz w:val="24"/>
          <w:szCs w:val="24"/>
          <w:rtl w:val="0"/>
        </w:rPr>
        <w:t xml:space="preserve">In Threshold Concepts, oppression is defined as “prejudice and discrimination directed toward a group and perpetuated by the ideologies and practices of multiple social institutions,” (pg.101). </w:t>
      </w:r>
    </w:p>
    <w:p w:rsidR="00000000" w:rsidDel="00000000" w:rsidP="00000000" w:rsidRDefault="00000000" w:rsidRPr="00000000" w14:paraId="0000006D">
      <w:pPr>
        <w:widowControl w:val="0"/>
        <w:shd w:fill="ffffff" w:val="clear"/>
        <w:spacing w:after="180" w:before="180" w:line="240" w:lineRule="auto"/>
        <w:rPr>
          <w:color w:val="2d3b45"/>
          <w:sz w:val="24"/>
          <w:szCs w:val="24"/>
        </w:rPr>
      </w:pPr>
      <w:r w:rsidDel="00000000" w:rsidR="00000000" w:rsidRPr="00000000">
        <w:rPr>
          <w:color w:val="2d3b45"/>
          <w:sz w:val="24"/>
          <w:szCs w:val="24"/>
          <w:rtl w:val="0"/>
        </w:rPr>
        <w:t xml:space="preserve">Privilege is defined as “benefits, advantages, and power that accrue to members of a dominant group as a result of oppression of the marginalized group,” (pg. 105). The text goes on to state: “individuals and groups may be privileged without realizing, recognizing, or even wanting it. A key point is that oppression and privilege are inextricably linked; they are opposite sides of the same coin,” (pg. 105). Institutions is less tangibly defined, however, examples of institutions are provided on page 111 with the nod that “institutions can have a combination of formal and formal structural elements,” (pg.111). Lastly, ideologies are defined as “sets of ideas or beliefs,” (pg. 111). </w:t>
      </w:r>
    </w:p>
    <w:p w:rsidR="00000000" w:rsidDel="00000000" w:rsidP="00000000" w:rsidRDefault="00000000" w:rsidRPr="00000000" w14:paraId="0000006E">
      <w:pPr>
        <w:widowControl w:val="0"/>
        <w:shd w:fill="ffffff" w:val="clear"/>
        <w:spacing w:after="180" w:before="180" w:line="240" w:lineRule="auto"/>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06F">
      <w:pPr>
        <w:widowControl w:val="0"/>
        <w:shd w:fill="ffffff" w:val="clear"/>
        <w:spacing w:after="180" w:before="180" w:line="240" w:lineRule="auto"/>
        <w:rPr>
          <w:color w:val="2d3b45"/>
          <w:sz w:val="24"/>
          <w:szCs w:val="24"/>
        </w:rPr>
      </w:pPr>
      <w:r w:rsidDel="00000000" w:rsidR="00000000" w:rsidRPr="00000000">
        <w:rPr>
          <w:color w:val="2d3b45"/>
          <w:sz w:val="24"/>
          <w:szCs w:val="24"/>
          <w:rtl w:val="0"/>
        </w:rPr>
        <w:t xml:space="preserve">In the referenced graphic on page 98 describing COVID-19 infections in meat and poultry processing facilities, there are a number of things that strike me as relevant to the key concepts of privilege, oppression, institutions, and ideologies. There is a statistic presented that 87% of the employees infected between April and May 2020 were of racial and ethnic minority groups, which to me, opens space for an entire conversation about who is working in these positions, and why. There’s also a note that these facilities should ‘provide culturally appropriate health education materials,” which seems to indicate to me that there is a certain cultural othering occurring here between the CDC, the Meat and Poultry Processing Facilities Management, and the workers who are being infected. The chapter further describes a disproportionate amount of BIPOC individuals becoming ill and dying from COVID. Another issue of consideration that the graphic from the CDC suggests is “encourage workers to take sick leave when needed,” which presumes that workers have and can afford to take sick leave, which ignores the intersection of wealth and privilege in the pandemic. </w:t>
      </w:r>
    </w:p>
    <w:p w:rsidR="00000000" w:rsidDel="00000000" w:rsidP="00000000" w:rsidRDefault="00000000" w:rsidRPr="00000000" w14:paraId="00000070">
      <w:pPr>
        <w:widowControl w:val="0"/>
        <w:shd w:fill="ffffff" w:val="clear"/>
        <w:spacing w:after="180" w:before="180" w:line="240" w:lineRule="auto"/>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071">
      <w:pPr>
        <w:widowControl w:val="0"/>
        <w:shd w:fill="ffffff" w:val="clear"/>
        <w:spacing w:after="180" w:before="180" w:line="240" w:lineRule="auto"/>
        <w:rPr>
          <w:color w:val="2d3b45"/>
          <w:sz w:val="24"/>
          <w:szCs w:val="24"/>
        </w:rPr>
      </w:pPr>
      <w:r w:rsidDel="00000000" w:rsidR="00000000" w:rsidRPr="00000000">
        <w:rPr>
          <w:color w:val="2d3b45"/>
          <w:sz w:val="24"/>
          <w:szCs w:val="24"/>
          <w:rtl w:val="0"/>
        </w:rPr>
        <w:t xml:space="preserve">For some important/challenging concepts, questions and concerns from this week’s readings, I’d like to turn to Fausto-Sterling’s Sex/Gender, in which chapter one begins with a discussion of a so-called gender test for athletes. Admittedly even as a queer nonbinary person myself, I have certain questions and reservations about how one might participate in sex-differentiated sports after hormone replacement therapy of any variety. For me, however, I imagine less of a problem with individual athletes but rather our system of dividing athletes by perception of sex, which seems to be quite nonsensical when it comes to elite standards of performance athletes to begin with. When we think of someone like Michael Phelps, for example, we don’t tend to talk about his body naturally providing him with an unfair advantage at his sport, but we also often hear spectators and commenters describing how his muscle composition is part of what makes him into the swimmer he is. Is it the other swimmers’ fault that Michael was built this way naturally? I mean, is it my fault that my pancreas produces too much insulin and without medical support to remove it from my body I’d probably have died a long time ago? I frankly don’t know where to draw the lines, especially in the case of these high-performance athletes.</w:t>
      </w:r>
    </w:p>
    <w:p w:rsidR="00000000" w:rsidDel="00000000" w:rsidP="00000000" w:rsidRDefault="00000000" w:rsidRPr="00000000" w14:paraId="00000072">
      <w:pPr>
        <w:widowControl w:val="0"/>
        <w:shd w:fill="ffffff" w:val="clear"/>
        <w:spacing w:after="180" w:before="180" w:line="240" w:lineRule="auto"/>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073">
      <w:pPr>
        <w:widowControl w:val="0"/>
        <w:shd w:fill="ffffff" w:val="clear"/>
        <w:spacing w:after="180" w:before="180" w:line="240" w:lineRule="auto"/>
        <w:rPr>
          <w:color w:val="2d3b45"/>
          <w:sz w:val="24"/>
          <w:szCs w:val="24"/>
        </w:rPr>
      </w:pPr>
      <w:r w:rsidDel="00000000" w:rsidR="00000000" w:rsidRPr="00000000">
        <w:rPr>
          <w:color w:val="2d3b45"/>
          <w:sz w:val="24"/>
          <w:szCs w:val="24"/>
          <w:rtl w:val="0"/>
        </w:rPr>
        <w:t xml:space="preserve">Later on in Fausto-Sterling, Chapter 9, we get to the debacle of the ‘coloring’ of genders as in Pink or Blue, and I’d like to share a little story from this past holiday season. I have an 8-year-old nephew and a 7-year-old niece. Typically for the sake of keeping the children from going to war with one another we strive to make sure we get them the same things for gifts (which, don’t even get me started about how commercialism likely plays into all of this). Well, this past season, we were unwrapping gifts and lo and behold, my mum accidentally wrapped up a little box of nail polishes for Philip that were meant for Hannah. Based on the parents’ reaction, you would’ve thought my mother had accidentally given her grandson a live stick of dynamite. This chapter had me reflecting on those events.  </w:t>
      </w:r>
    </w:p>
    <w:p w:rsidR="00000000" w:rsidDel="00000000" w:rsidP="00000000" w:rsidRDefault="00000000" w:rsidRPr="00000000" w14:paraId="00000074">
      <w:pPr>
        <w:widowControl w:val="0"/>
        <w:numPr>
          <w:ilvl w:val="0"/>
          <w:numId w:val="2"/>
        </w:numPr>
        <w:shd w:fill="ffffff" w:val="clear"/>
        <w:spacing w:line="240" w:lineRule="auto"/>
        <w:ind w:left="1100" w:hanging="360"/>
      </w:pPr>
      <w:r w:rsidDel="00000000" w:rsidR="00000000" w:rsidRPr="00000000">
        <w:rPr>
          <w:b w:val="1"/>
          <w:color w:val="2d3b45"/>
          <w:sz w:val="24"/>
          <w:szCs w:val="24"/>
          <w:rtl w:val="0"/>
        </w:rPr>
        <w:t xml:space="preserve">Interlocking Systems of Oppression</w:t>
      </w:r>
      <w:r w:rsidDel="00000000" w:rsidR="00000000" w:rsidRPr="00000000">
        <w:rPr>
          <w:color w:val="2d3b45"/>
          <w:sz w:val="24"/>
          <w:szCs w:val="24"/>
          <w:rtl w:val="0"/>
        </w:rPr>
        <w:t xml:space="preserve">: Consider Collins' critique of single-axis frameworks and her emphasis on understanding interlocking systems of oppression. How does this perspective deepen our understanding of intersectionality and its application in social analysis? Discuss examples of interlocking oppressions provided in the text.</w:t>
      </w:r>
    </w:p>
    <w:p w:rsidR="00000000" w:rsidDel="00000000" w:rsidP="00000000" w:rsidRDefault="00000000" w:rsidRPr="00000000" w14:paraId="00000075">
      <w:pPr>
        <w:widowControl w:val="0"/>
        <w:shd w:fill="ffffff" w:val="clear"/>
        <w:spacing w:after="180" w:before="180" w:line="240" w:lineRule="auto"/>
        <w:rPr>
          <w:color w:val="2d3b45"/>
          <w:sz w:val="24"/>
          <w:szCs w:val="24"/>
        </w:rPr>
      </w:pPr>
      <w:r w:rsidDel="00000000" w:rsidR="00000000" w:rsidRPr="00000000">
        <w:rPr>
          <w:color w:val="2d3b45"/>
          <w:sz w:val="24"/>
          <w:szCs w:val="24"/>
          <w:rtl w:val="0"/>
        </w:rPr>
        <w:t xml:space="preserve">One useful area for understanding Collins’ critique of single-axis frameworks and interlocking systems of oppression comes to us in Chapter 3: Intersectionality and Resistant Knowledge Products, in which Collins discusses queer of color critiques of feminism and LGBTQ+ activism as being “overly concerned with the issues that affected white, middle-class people,” (Collins 105). Examples given include the concept of marriage equality, which often seems or is touted as a ‘universal’ queer issue in the United States. Collins describes marriage equality as a victory that certain combinations of racial and economic marginalizations would benefit less from. To me, this example reminded me of economic marginalization for disabled people in the United States, who often cannot marry without losing state appointed benefits that make a dramatic difference in their access to meaningful healthcare. A similar example is provided in terms of LGBTQ+ workplace protections, which, while a victory, is “less valuable for black trans people who experience extremely high rates of violence and murder,” (Collins 106). Neither of these critiques are, of course, to suggest that marriage equality or workplace protections are not important–of course they are–but these intersections are important as we consider social analysis and ask ourselves as researchers and members of this community (or as allies, for those of you that applies to) what ‘counts’ as queer issues or successes/goals for the community. Collins mentions the “tendency of valorizing particular queer women of color at the founding moments of a discourse while ignoring the ongoing presence of queer women of color within feminism itself,” (Collins 106) as a core issue of whitewashing feminist knowledge/theory/practice in academic spheres in particular, which, I suppose, feels particularly relevant and tangible when we think of the history of queer liberation in the U.S. as starting with Stonewall and the work of transwomen of color and tending to ignore the needs of queer people of color in contemporaneous events. I am reminded of, for example, rainbow flags and corporate pride in June, which often features images of white cisgender gay men. These considerations provide a richness to discussions of intersectionality within the queer community as they highlight the differing wants and needs of different constituents therein.    </w:t>
      </w:r>
    </w:p>
    <w:p w:rsidR="00000000" w:rsidDel="00000000" w:rsidP="00000000" w:rsidRDefault="00000000" w:rsidRPr="00000000" w14:paraId="00000076">
      <w:pPr>
        <w:widowControl w:val="0"/>
        <w:shd w:fill="ffffff" w:val="clear"/>
        <w:spacing w:after="180" w:before="180" w:line="240" w:lineRule="auto"/>
        <w:rPr>
          <w:color w:val="2d3b45"/>
          <w:sz w:val="24"/>
          <w:szCs w:val="24"/>
        </w:rPr>
      </w:pPr>
      <w:r w:rsidDel="00000000" w:rsidR="00000000" w:rsidRPr="00000000">
        <w:rPr>
          <w:color w:val="2d3b45"/>
          <w:sz w:val="24"/>
          <w:szCs w:val="24"/>
          <w:rtl w:val="0"/>
        </w:rPr>
        <w:t xml:space="preserve">References</w:t>
      </w:r>
    </w:p>
    <w:p w:rsidR="00000000" w:rsidDel="00000000" w:rsidP="00000000" w:rsidRDefault="00000000" w:rsidRPr="00000000" w14:paraId="00000077">
      <w:pPr>
        <w:widowControl w:val="0"/>
        <w:shd w:fill="ffffff" w:val="clear"/>
        <w:spacing w:before="180" w:line="240" w:lineRule="auto"/>
        <w:rPr>
          <w:color w:val="2d3b45"/>
          <w:sz w:val="24"/>
          <w:szCs w:val="24"/>
        </w:rPr>
      </w:pPr>
      <w:r w:rsidDel="00000000" w:rsidR="00000000" w:rsidRPr="00000000">
        <w:rPr>
          <w:color w:val="2d3b45"/>
          <w:sz w:val="24"/>
          <w:szCs w:val="24"/>
          <w:rtl w:val="0"/>
        </w:rPr>
        <w:t xml:space="preserve">Collins, Patricia Hill. Intersectionality as Critical Social Theory. Durham: Duke UP, 2019.</w:t>
      </w:r>
    </w:p>
    <w:p w:rsidR="00000000" w:rsidDel="00000000" w:rsidP="00000000" w:rsidRDefault="00000000" w:rsidRPr="00000000" w14:paraId="00000078">
      <w:pPr>
        <w:widowControl w:val="0"/>
        <w:shd w:fill="ffffff" w:val="clear"/>
        <w:spacing w:after="180" w:before="180" w:line="240" w:lineRule="auto"/>
        <w:rPr>
          <w:color w:val="2d3b45"/>
          <w:sz w:val="24"/>
          <w:szCs w:val="24"/>
        </w:rPr>
      </w:pPr>
      <w:r w:rsidDel="00000000" w:rsidR="00000000" w:rsidRPr="00000000">
        <w:rPr>
          <w:color w:val="2d3b45"/>
          <w:sz w:val="24"/>
          <w:szCs w:val="24"/>
          <w:rtl w:val="0"/>
        </w:rPr>
        <w:t xml:space="preserve">You provide a quite interesting account of the differences between Collins and Crenshaw in terms of their academic work and subject positionalities. I also have to admit that when I was reading and I got to the quotation you referenced with regard to the case for intersectionality no longer needing to be made on page 21, I audibly sighed out loud and thought about how in our teaching and learning context here in Florida, that would not seem to be precisely the case in 2024. Perhaps at the time this was published in 2019 (and written perhaps earlier than that, given how academic publishing timelines work) things may have seemed different. I also felt the moment in your post regarding Roe V. Wade -- part of my post references marriage equality, which is something I never thought I'd see in my lifetime (and frankly didn't care about terribly much in the grand scheme of intersectional queer issues) and I have this strange, visceral reaction regarding the loss of Roe v. Wade while Obergefell v. Hodges still stands -- I never, ever dreamed that we'd lose Roe v. Wade, much like I somehow never dreamed that we'd get marriage equality. I'm sure this would be unpopular to say among white queer circles, but I feel Roe v. Wade is probably a deeper loss for the queer community and everyone in it who has a uterus more than marriage equality would be. I know it's impossible to compare, but if I had to wager where bodily autonomy falls in terms of importance, well...</w:t>
      </w:r>
    </w:p>
    <w:p w:rsidR="00000000" w:rsidDel="00000000" w:rsidP="00000000" w:rsidRDefault="00000000" w:rsidRPr="00000000" w14:paraId="00000079">
      <w:pPr>
        <w:widowControl w:val="0"/>
        <w:shd w:fill="ffffff" w:val="clear"/>
        <w:spacing w:before="180" w:line="240" w:lineRule="auto"/>
        <w:rPr>
          <w:color w:val="2d3b45"/>
          <w:sz w:val="24"/>
          <w:szCs w:val="24"/>
        </w:rPr>
      </w:pPr>
      <w:r w:rsidDel="00000000" w:rsidR="00000000" w:rsidRPr="00000000">
        <w:rPr>
          <w:color w:val="2d3b45"/>
          <w:sz w:val="24"/>
          <w:szCs w:val="24"/>
          <w:rtl w:val="0"/>
        </w:rPr>
        <w:t xml:space="preserve">I also greatly appreciate your discussion of your own positionality and intersectionality. I scarcely know what to do with myself in terms of identities and positionalities given that I'm nonbinary and queer, and while my upbringing and background certainly clashes with these identities, particularly in terms of religion and ethnicity, I've also been exceedingly fortunate to have an uncommon amount of non-family community support in my journey that has helped me navigate those more traditional spaces since I was quite young. I frankly don't know where I'd be without my high school Gay Straight Alliance...  </w:t>
      </w:r>
    </w:p>
    <w:p w:rsidR="00000000" w:rsidDel="00000000" w:rsidP="00000000" w:rsidRDefault="00000000" w:rsidRPr="00000000" w14:paraId="0000007A">
      <w:pPr>
        <w:widowControl w:val="0"/>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Reading Response: Germon and Butler </w:t>
      </w:r>
    </w:p>
    <w:p w:rsidR="00000000" w:rsidDel="00000000" w:rsidP="00000000" w:rsidRDefault="00000000" w:rsidRPr="00000000" w14:paraId="0000007B">
      <w:pPr>
        <w:widowControl w:val="0"/>
        <w:spacing w:line="240" w:lineRule="auto"/>
        <w:jc w:val="cente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C">
      <w:pPr>
        <w:widowControl w:val="0"/>
        <w:numPr>
          <w:ilvl w:val="0"/>
          <w:numId w:val="3"/>
        </w:numPr>
        <w:shd w:fill="ffffff" w:val="clear"/>
        <w:spacing w:after="200" w:line="240" w:lineRule="auto"/>
        <w:ind w:left="720" w:hanging="36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 the chapter from her book, Jennifer Germon chronicles the use of the term gender by John Money to study intersex people. What norms about sex did John Money challenge in his studies? What norms about gender did he "establish"? Perhaps most importantly, what effects did Money's work have on intersex people, particularly babies and children?</w:t>
      </w:r>
    </w:p>
    <w:p w:rsidR="00000000" w:rsidDel="00000000" w:rsidP="00000000" w:rsidRDefault="00000000" w:rsidRPr="00000000" w14:paraId="0000007D">
      <w:pPr>
        <w:widowControl w:val="0"/>
        <w:shd w:fill="ffffff" w:val="clear"/>
        <w:spacing w:after="200" w:line="480" w:lineRule="auto"/>
        <w:rPr>
          <w:rFonts w:ascii="Calibri" w:cs="Calibri" w:eastAsia="Calibri" w:hAnsi="Calibri"/>
        </w:rPr>
      </w:pPr>
      <w:r w:rsidDel="00000000" w:rsidR="00000000" w:rsidRPr="00000000">
        <w:rPr>
          <w:rFonts w:ascii="Calibri" w:cs="Calibri" w:eastAsia="Calibri" w:hAnsi="Calibri"/>
          <w:sz w:val="20"/>
          <w:szCs w:val="20"/>
          <w:rtl w:val="0"/>
        </w:rPr>
        <w:tab/>
      </w:r>
      <w:r w:rsidDel="00000000" w:rsidR="00000000" w:rsidRPr="00000000">
        <w:rPr>
          <w:rFonts w:ascii="Calibri" w:cs="Calibri" w:eastAsia="Calibri" w:hAnsi="Calibri"/>
          <w:rtl w:val="0"/>
        </w:rPr>
        <w:t xml:space="preserve">Money argued for the use of additional “psychosocial signifiers” when providing sex-assignment to ambiguously intersex children so that physicians could ‘best fit’ the children into the gender binary in lieu of working to strive for a singular “true sex” that the child would have belonged to if not for their perceived genital ambiguity. Part of this included parents enforcing rigid standards of hyperfemininity or hypermasculinity to their patients in the hopes of successfully causing the imposed gender identity to ‘stick.’ Unfortunately, this led to quite a bit of traumatic experiences of the socialization of gender for intersex children who’s experiences and performances of gender did not align well with what was assigned and, in time, the unnecessary surgical sexual reassignment of intersex children.         </w:t>
      </w:r>
    </w:p>
    <w:p w:rsidR="00000000" w:rsidDel="00000000" w:rsidP="00000000" w:rsidRDefault="00000000" w:rsidRPr="00000000" w14:paraId="0000007E">
      <w:pPr>
        <w:widowControl w:val="0"/>
        <w:numPr>
          <w:ilvl w:val="0"/>
          <w:numId w:val="3"/>
        </w:numPr>
        <w:shd w:fill="ffffff" w:val="clear"/>
        <w:spacing w:after="200" w:line="240" w:lineRule="auto"/>
        <w:ind w:left="720" w:hanging="36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 her chapter, Germon presents Money's history in order to put forth two arguments. What are those arguments?</w:t>
      </w:r>
    </w:p>
    <w:p w:rsidR="00000000" w:rsidDel="00000000" w:rsidP="00000000" w:rsidRDefault="00000000" w:rsidRPr="00000000" w14:paraId="0000007F">
      <w:pPr>
        <w:widowControl w:val="0"/>
        <w:shd w:fill="ffffff" w:val="clear"/>
        <w:spacing w:after="200" w:line="480" w:lineRule="auto"/>
        <w:rPr>
          <w:rFonts w:ascii="Calibri" w:cs="Calibri" w:eastAsia="Calibri" w:hAnsi="Calibri"/>
        </w:rPr>
      </w:pPr>
      <w:r w:rsidDel="00000000" w:rsidR="00000000" w:rsidRPr="00000000">
        <w:rPr>
          <w:rFonts w:ascii="Calibri" w:cs="Calibri" w:eastAsia="Calibri" w:hAnsi="Calibri"/>
          <w:b w:val="1"/>
          <w:sz w:val="20"/>
          <w:szCs w:val="20"/>
          <w:rtl w:val="0"/>
        </w:rPr>
        <w:tab/>
      </w:r>
      <w:r w:rsidDel="00000000" w:rsidR="00000000" w:rsidRPr="00000000">
        <w:rPr>
          <w:rFonts w:ascii="Calibri" w:cs="Calibri" w:eastAsia="Calibri" w:hAnsi="Calibri"/>
          <w:rtl w:val="0"/>
        </w:rPr>
        <w:t xml:space="preserve">Germon states that this history is presented to 1) show the ongoing relationship between intersex people and the idea of gender, and to show that 2) gender is a conceptual device of the 20th Century (Germon 62). </w:t>
      </w:r>
    </w:p>
    <w:p w:rsidR="00000000" w:rsidDel="00000000" w:rsidP="00000000" w:rsidRDefault="00000000" w:rsidRPr="00000000" w14:paraId="00000080">
      <w:pPr>
        <w:widowControl w:val="0"/>
        <w:numPr>
          <w:ilvl w:val="0"/>
          <w:numId w:val="3"/>
        </w:numPr>
        <w:shd w:fill="ffffff" w:val="clear"/>
        <w:spacing w:after="200" w:line="240" w:lineRule="auto"/>
        <w:ind w:left="720" w:hanging="36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What is something new you learned from this reading?</w:t>
      </w:r>
    </w:p>
    <w:p w:rsidR="00000000" w:rsidDel="00000000" w:rsidP="00000000" w:rsidRDefault="00000000" w:rsidRPr="00000000" w14:paraId="00000081">
      <w:pPr>
        <w:widowControl w:val="0"/>
        <w:shd w:fill="ffffff" w:val="clear"/>
        <w:spacing w:after="200" w:line="480" w:lineRule="auto"/>
        <w:rPr>
          <w:rFonts w:ascii="Calibri" w:cs="Calibri" w:eastAsia="Calibri" w:hAnsi="Calibri"/>
        </w:rPr>
      </w:pPr>
      <w:r w:rsidDel="00000000" w:rsidR="00000000" w:rsidRPr="00000000">
        <w:rPr>
          <w:rFonts w:ascii="Calibri" w:cs="Calibri" w:eastAsia="Calibri" w:hAnsi="Calibri"/>
          <w:b w:val="1"/>
          <w:rtl w:val="0"/>
        </w:rPr>
        <w:tab/>
      </w:r>
      <w:r w:rsidDel="00000000" w:rsidR="00000000" w:rsidRPr="00000000">
        <w:rPr>
          <w:rFonts w:ascii="Calibri" w:cs="Calibri" w:eastAsia="Calibri" w:hAnsi="Calibri"/>
          <w:rtl w:val="0"/>
        </w:rPr>
        <w:t xml:space="preserve">New and fascinating to me from this reading is the fact that apparently nowhere in Money’s research was it stated that it was impossible for a person with ‘paradoxical genitals’ to have a full experience of their socialized, assigned gender and that despite apparently being aware of this, Money and his team, given that their goal was to create a framework for physicians’ practices, accidentally caused unnecessary surgical interventions on intersex children (Germon 43).      </w:t>
      </w:r>
    </w:p>
    <w:p w:rsidR="00000000" w:rsidDel="00000000" w:rsidP="00000000" w:rsidRDefault="00000000" w:rsidRPr="00000000" w14:paraId="00000082">
      <w:pPr>
        <w:widowControl w:val="0"/>
        <w:numPr>
          <w:ilvl w:val="0"/>
          <w:numId w:val="3"/>
        </w:numPr>
        <w:shd w:fill="ffffff" w:val="clear"/>
        <w:spacing w:after="200" w:line="240" w:lineRule="auto"/>
        <w:ind w:left="720" w:hanging="36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Discussing what constitutes women and citing Foucault (pgs. 4-5), Butler claims that subjects are regulated by the same structures that produce them or identify them as "the subject”. What does she state is the problem with this conundrum?</w:t>
      </w:r>
    </w:p>
    <w:p w:rsidR="00000000" w:rsidDel="00000000" w:rsidP="00000000" w:rsidRDefault="00000000" w:rsidRPr="00000000" w14:paraId="00000083">
      <w:pPr>
        <w:widowControl w:val="0"/>
        <w:shd w:fill="ffffff" w:val="clear"/>
        <w:spacing w:after="180" w:before="180" w:line="480" w:lineRule="auto"/>
        <w:ind w:firstLine="720"/>
        <w:rPr>
          <w:rFonts w:ascii="Calibri" w:cs="Calibri" w:eastAsia="Calibri" w:hAnsi="Calibri"/>
        </w:rPr>
      </w:pPr>
      <w:r w:rsidDel="00000000" w:rsidR="00000000" w:rsidRPr="00000000">
        <w:rPr>
          <w:rFonts w:ascii="Calibri" w:cs="Calibri" w:eastAsia="Calibri" w:hAnsi="Calibri"/>
          <w:rtl w:val="0"/>
        </w:rPr>
        <w:t xml:space="preserve">Butler’s take on this conundrum is, in her own words, “an uncritical appeal to such a system for the emancipation of “women” will be clearly self-defeating,” (Butler 5). My understanding of this logic is that, if ‘woman’ is a concept both defined and regulated by the powers that marginalize women and women-adjacent beings, plenty of people who would otherwise be the ‘subject’ of feminism would be left out of the movement, including but not limited to masculine-identifying persons who could benefit from feminism, as well as people who do not fit within the gender binary to begin with.         </w:t>
      </w:r>
    </w:p>
    <w:p w:rsidR="00000000" w:rsidDel="00000000" w:rsidP="00000000" w:rsidRDefault="00000000" w:rsidRPr="00000000" w14:paraId="00000084">
      <w:pPr>
        <w:widowControl w:val="0"/>
        <w:numPr>
          <w:ilvl w:val="0"/>
          <w:numId w:val="3"/>
        </w:numPr>
        <w:shd w:fill="ffffff" w:val="clear"/>
        <w:spacing w:after="200" w:line="240" w:lineRule="auto"/>
        <w:ind w:left="720" w:hanging="36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According to Butler, why is it "impossible to separate out 'gender' from the political and cultural intersections in which it is invariably produced and maintained (6)?</w:t>
      </w:r>
    </w:p>
    <w:p w:rsidR="00000000" w:rsidDel="00000000" w:rsidP="00000000" w:rsidRDefault="00000000" w:rsidRPr="00000000" w14:paraId="00000085">
      <w:pPr>
        <w:widowControl w:val="0"/>
        <w:shd w:fill="ffffff" w:val="clear"/>
        <w:spacing w:after="200" w:line="480" w:lineRule="auto"/>
        <w:ind w:firstLine="720"/>
        <w:rPr>
          <w:rFonts w:ascii="Calibri" w:cs="Calibri" w:eastAsia="Calibri" w:hAnsi="Calibri"/>
          <w:b w:val="1"/>
        </w:rPr>
      </w:pPr>
      <w:r w:rsidDel="00000000" w:rsidR="00000000" w:rsidRPr="00000000">
        <w:rPr>
          <w:rFonts w:ascii="Calibri" w:cs="Calibri" w:eastAsia="Calibri" w:hAnsi="Calibri"/>
          <w:rtl w:val="0"/>
        </w:rPr>
        <w:t xml:space="preserve">Butler states that because gender is impossible to remove from political and social constructs because it is not defined “coherently or consistently” in kairotic context and due to the intersectionality of gender with race, socio-economic status, ethnicity, sexual, and other identities (Butler 6). She earlier states that no woman is ever just a woman. As an example, a person like myself who is a white nonbinary person is in some ways a subject of feminism, although I am not a woman by my own identifiers. However, no matter how I identify, most people do recognize me in the world as ‘a woman.’ I also benefit from certain privileges associated with my race that, while are inherently separate from my gender identity, intersect in meaningful ways that cannot be unmingled. My experiences are never just a “woman” experience or a “white” experience or even a “queer” experience, they are always all of the above.   </w:t>
      </w:r>
      <w:r w:rsidDel="00000000" w:rsidR="00000000" w:rsidRPr="00000000">
        <w:rPr>
          <w:rtl w:val="0"/>
        </w:rPr>
      </w:r>
    </w:p>
    <w:p w:rsidR="00000000" w:rsidDel="00000000" w:rsidP="00000000" w:rsidRDefault="00000000" w:rsidRPr="00000000" w14:paraId="00000086">
      <w:pPr>
        <w:widowControl w:val="0"/>
        <w:numPr>
          <w:ilvl w:val="0"/>
          <w:numId w:val="3"/>
        </w:numPr>
        <w:shd w:fill="ffffff" w:val="clear"/>
        <w:spacing w:after="200" w:line="240" w:lineRule="auto"/>
        <w:ind w:left="720" w:hanging="36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Butler states: The limits of the discursive analysis of gender presuppose and preempt the possibilities of imaginable and realizable gender configurations within culture. This is not to say that any and all gendered possibilities are open, but that the boundaries of analysis suggest the limits of a discursively conditioned experience.These limits are always set within the terms of a hegemonic cultural discourse predicated on binary structures that appear as the language of universal rationality. Constraint is thus built into what that language constitutes as the imaginable domain of gender." (13) In simple terms, what does she mean by this? Have you had any experiences that support this claim?</w:t>
      </w:r>
    </w:p>
    <w:p w:rsidR="00000000" w:rsidDel="00000000" w:rsidP="00000000" w:rsidRDefault="00000000" w:rsidRPr="00000000" w14:paraId="00000087">
      <w:pPr>
        <w:widowControl w:val="0"/>
        <w:shd w:fill="ffffff" w:val="clear"/>
        <w:spacing w:after="200" w:line="480" w:lineRule="auto"/>
        <w:ind w:firstLine="720"/>
        <w:rPr>
          <w:rFonts w:ascii="Calibri" w:cs="Calibri" w:eastAsia="Calibri" w:hAnsi="Calibri"/>
          <w:b w:val="1"/>
        </w:rPr>
      </w:pPr>
      <w:r w:rsidDel="00000000" w:rsidR="00000000" w:rsidRPr="00000000">
        <w:rPr>
          <w:rFonts w:ascii="Calibri" w:cs="Calibri" w:eastAsia="Calibri" w:hAnsi="Calibri"/>
          <w:rtl w:val="0"/>
        </w:rPr>
        <w:t xml:space="preserve">In non-academese, what Butler means is that the common western interpretation of gender supposes a binary system in which all persons (across all times, in all places) are either male or female, with little variation, and that even when that variation does occur, our understanding of it and our ability to discuss any meaningful differences with language is limited by a cultural belief that the standard model of gender is always a male-female binary. I have experienced this frequently as a non-binary person who is partnered with another non-binary person. We get a lot of odd questions we get from friends, family members and even strangers about ‘who is the man and who is the woman’ in the relationship. These questions are fascinating (albeit a bit annoying) as they all hinge on the notion that there must be ‘a man’, and ‘a woman,’ even when neither is present, no matter the context. Questions we have gotten along this line have been from anything as ‘innocuous’ (if you can call it that) as who does what around the house to more invasive questions about sex and gentials which, apparently, cisgender heteronormative people think are perfectly acceptable topics of polite conversation when it comes to us. Funnily enough, if you point out to them how uncomfortable they might feel if someone asked them about such private matters, they usually get quite embarrassed.     </w:t>
      </w:r>
      <w:r w:rsidDel="00000000" w:rsidR="00000000" w:rsidRPr="00000000">
        <w:rPr>
          <w:rtl w:val="0"/>
        </w:rPr>
      </w:r>
    </w:p>
    <w:p w:rsidR="00000000" w:rsidDel="00000000" w:rsidP="00000000" w:rsidRDefault="00000000" w:rsidRPr="00000000" w14:paraId="00000088">
      <w:pPr>
        <w:widowControl w:val="0"/>
        <w:numPr>
          <w:ilvl w:val="0"/>
          <w:numId w:val="3"/>
        </w:numPr>
        <w:shd w:fill="ffffff" w:val="clear"/>
        <w:spacing w:after="180" w:before="180" w:line="240" w:lineRule="auto"/>
        <w:ind w:left="720" w:hanging="36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These writings were published many years ago (2009 and 1999). What have you seen, read about, or experienced that demonstrates some changes in thinking about gender, sex, and feminism compared to these two readings?</w:t>
      </w:r>
    </w:p>
    <w:p w:rsidR="00000000" w:rsidDel="00000000" w:rsidP="00000000" w:rsidRDefault="00000000" w:rsidRPr="00000000" w14:paraId="00000089">
      <w:pPr>
        <w:spacing w:line="480" w:lineRule="auto"/>
        <w:ind w:firstLine="720"/>
        <w:rPr>
          <w:rFonts w:ascii="Calibri" w:cs="Calibri" w:eastAsia="Calibri" w:hAnsi="Calibri"/>
        </w:rPr>
      </w:pPr>
      <w:r w:rsidDel="00000000" w:rsidR="00000000" w:rsidRPr="00000000">
        <w:rPr>
          <w:rFonts w:ascii="Calibri" w:cs="Calibri" w:eastAsia="Calibri" w:hAnsi="Calibri"/>
          <w:rtl w:val="0"/>
        </w:rPr>
        <w:t xml:space="preserve">I believe it is more common in 2022 to think of feminism as being a thought process and a movement which aids more than just cisgender women, but rather, plenty of queer people and men as well. I know there is some debate and question about whether transmen and transwomen belong in so-called ‘women’s spaces’, although it would appear that Butler would certainly support both of these groups of people existing within those spaces. I have also heard anecdotally through media, although I don’t know how true this is or know how it is reflected in statistics, that it is growing more common for intersex children to not endure surgeries as infants and to make some of those decisions on their own as they get older.    </w:t>
      </w:r>
    </w:p>
    <w:p w:rsidR="00000000" w:rsidDel="00000000" w:rsidP="00000000" w:rsidRDefault="00000000" w:rsidRPr="00000000" w14:paraId="0000008A">
      <w:pPr>
        <w:jc w:val="center"/>
        <w:rPr>
          <w:rFonts w:ascii="Calibri" w:cs="Calibri" w:eastAsia="Calibri" w:hAnsi="Calibri"/>
          <w:sz w:val="24"/>
          <w:szCs w:val="24"/>
        </w:rPr>
      </w:pPr>
      <w:r w:rsidDel="00000000" w:rsidR="00000000" w:rsidRPr="00000000">
        <w:rPr>
          <w:rFonts w:ascii="Calibri" w:cs="Calibri" w:eastAsia="Calibri" w:hAnsi="Calibri"/>
          <w:sz w:val="24"/>
          <w:szCs w:val="24"/>
          <w:u w:val="single"/>
          <w:rtl w:val="0"/>
        </w:rPr>
        <w:t xml:space="preserve">Reading Response 7: Women’s Composing </w:t>
      </w:r>
      <w:r w:rsidDel="00000000" w:rsidR="00000000" w:rsidRPr="00000000">
        <w:rPr>
          <w:rtl w:val="0"/>
        </w:rPr>
      </w:r>
    </w:p>
    <w:p w:rsidR="00000000" w:rsidDel="00000000" w:rsidP="00000000" w:rsidRDefault="00000000" w:rsidRPr="00000000" w14:paraId="0000008B">
      <w:pPr>
        <w:numPr>
          <w:ilvl w:val="0"/>
          <w:numId w:val="9"/>
        </w:numPr>
        <w:shd w:fill="ffffff" w:val="clear"/>
        <w:spacing w:after="200" w:lineRule="auto"/>
        <w:ind w:left="1100" w:hanging="360"/>
        <w:rPr>
          <w:rFonts w:ascii="Calibri" w:cs="Calibri" w:eastAsia="Calibri" w:hAnsi="Calibri"/>
          <w:color w:val="000000"/>
        </w:rPr>
      </w:pPr>
      <w:r w:rsidDel="00000000" w:rsidR="00000000" w:rsidRPr="00000000">
        <w:rPr>
          <w:rFonts w:ascii="Calibri" w:cs="Calibri" w:eastAsia="Calibri" w:hAnsi="Calibri"/>
          <w:sz w:val="24"/>
          <w:szCs w:val="24"/>
          <w:rtl w:val="0"/>
        </w:rPr>
        <w:t xml:space="preserve">The Combahee River Collective was written in 1977 as a collective response from women. What was the exigence and purpose of their response?</w:t>
      </w:r>
    </w:p>
    <w:p w:rsidR="00000000" w:rsidDel="00000000" w:rsidP="00000000" w:rsidRDefault="00000000" w:rsidRPr="00000000" w14:paraId="0000008C">
      <w:pPr>
        <w:shd w:fill="ffffff" w:val="clear"/>
        <w:spacing w:after="20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According to the reading, the Combahee River Collective was formed out of the black feminist connections to the second wave feminist movement and their erasure within the movement despite their participation. “Black, other Third World, and working women have been involved in the feminist movement from its start, but both outside reactionary forces and racism and elitism within the movement itself have served to obscure our participation. In 1973, Black feminists, primarily located in New York, felt the necessity of forming a separate Black feminist group. This became the National Black Feminist Organization (NBFO).”</w:t>
      </w:r>
    </w:p>
    <w:p w:rsidR="00000000" w:rsidDel="00000000" w:rsidP="00000000" w:rsidRDefault="00000000" w:rsidRPr="00000000" w14:paraId="0000008D">
      <w:pPr>
        <w:numPr>
          <w:ilvl w:val="0"/>
          <w:numId w:val="9"/>
        </w:numPr>
        <w:shd w:fill="ffffff" w:val="clear"/>
        <w:spacing w:after="200" w:lineRule="auto"/>
        <w:ind w:left="1100" w:hanging="360"/>
        <w:rPr>
          <w:rFonts w:ascii="Calibri" w:cs="Calibri" w:eastAsia="Calibri" w:hAnsi="Calibri"/>
          <w:color w:val="000000"/>
        </w:rPr>
      </w:pPr>
      <w:r w:rsidDel="00000000" w:rsidR="00000000" w:rsidRPr="00000000">
        <w:rPr>
          <w:rFonts w:ascii="Calibri" w:cs="Calibri" w:eastAsia="Calibri" w:hAnsi="Calibri"/>
          <w:sz w:val="24"/>
          <w:szCs w:val="24"/>
          <w:rtl w:val="0"/>
        </w:rPr>
        <w:t xml:space="preserve">Do you think their grievances been addressed 45 years later? </w:t>
      </w:r>
    </w:p>
    <w:p w:rsidR="00000000" w:rsidDel="00000000" w:rsidP="00000000" w:rsidRDefault="00000000" w:rsidRPr="00000000" w14:paraId="0000008E">
      <w:pPr>
        <w:shd w:fill="ffffff" w:val="clear"/>
        <w:spacing w:after="20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Unfortunately, I do not. The article states: “The most general statement of our politics at the present time would be that we are actively committed to struggling against racial, sexual, heterosexual, and class oppression, and see as our particular task the development of integrated analysis and practice based upon the fact that the major systems of oppression are interlocking. The synthesis of these oppressions creates the conditions of our lives.” Within the context of the BLM articles included with the Combahee River Collective and the general situation of police brutality in the United States, I still see a series of interlocking oppressions as issues for the feminist movement in the U.S.  </w:t>
      </w:r>
    </w:p>
    <w:p w:rsidR="00000000" w:rsidDel="00000000" w:rsidP="00000000" w:rsidRDefault="00000000" w:rsidRPr="00000000" w14:paraId="0000008F">
      <w:pPr>
        <w:numPr>
          <w:ilvl w:val="0"/>
          <w:numId w:val="9"/>
        </w:numPr>
        <w:shd w:fill="ffffff" w:val="clear"/>
        <w:spacing w:after="200" w:lineRule="auto"/>
        <w:ind w:left="1100" w:hanging="360"/>
        <w:rPr>
          <w:rFonts w:ascii="Calibri" w:cs="Calibri" w:eastAsia="Calibri" w:hAnsi="Calibri"/>
          <w:color w:val="000000"/>
        </w:rPr>
      </w:pPr>
      <w:r w:rsidDel="00000000" w:rsidR="00000000" w:rsidRPr="00000000">
        <w:rPr>
          <w:rFonts w:ascii="Calibri" w:cs="Calibri" w:eastAsia="Calibri" w:hAnsi="Calibri"/>
          <w:sz w:val="24"/>
          <w:szCs w:val="24"/>
          <w:rtl w:val="0"/>
        </w:rPr>
        <w:t xml:space="preserve">What do you think about the effectiveness of this written genre (the organization, diction, tone, and overall message)</w:t>
      </w:r>
    </w:p>
    <w:p w:rsidR="00000000" w:rsidDel="00000000" w:rsidP="00000000" w:rsidRDefault="00000000" w:rsidRPr="00000000" w14:paraId="00000090">
      <w:pPr>
        <w:shd w:fill="ffffff" w:val="clear"/>
        <w:spacing w:after="20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is a difficult question for me to answer because I think that overall, the rhetorical strategies of this piece are fantastic; I find it extremely compelling. That said, I know that despite how compelling this message is, the cries of this message have not yet been listened to by and large. Does that make it rhetorically ineffective? I’m unsure. </w:t>
      </w:r>
    </w:p>
    <w:p w:rsidR="00000000" w:rsidDel="00000000" w:rsidP="00000000" w:rsidRDefault="00000000" w:rsidRPr="00000000" w14:paraId="00000091">
      <w:pPr>
        <w:numPr>
          <w:ilvl w:val="0"/>
          <w:numId w:val="11"/>
        </w:numPr>
        <w:shd w:fill="ffffff" w:val="clear"/>
        <w:spacing w:after="200" w:lineRule="auto"/>
        <w:ind w:left="1100" w:hanging="360"/>
        <w:rPr>
          <w:rFonts w:ascii="Calibri" w:cs="Calibri" w:eastAsia="Calibri" w:hAnsi="Calibri"/>
          <w:color w:val="000000"/>
        </w:rPr>
      </w:pPr>
      <w:r w:rsidDel="00000000" w:rsidR="00000000" w:rsidRPr="00000000">
        <w:rPr>
          <w:rFonts w:ascii="Calibri" w:cs="Calibri" w:eastAsia="Calibri" w:hAnsi="Calibri"/>
          <w:sz w:val="24"/>
          <w:szCs w:val="24"/>
          <w:rtl w:val="0"/>
        </w:rPr>
        <w:t xml:space="preserve">In Maureen Goggin's chapter, what does she say is the value of studying something like women's needlework as a rhetorical practice?</w:t>
      </w:r>
    </w:p>
    <w:p w:rsidR="00000000" w:rsidDel="00000000" w:rsidP="00000000" w:rsidRDefault="00000000" w:rsidRPr="00000000" w14:paraId="00000092">
      <w:pPr>
        <w:shd w:fill="ffffff" w:val="clear"/>
        <w:spacing w:after="200" w:lineRule="auto"/>
        <w:rPr>
          <w:rFonts w:ascii="Calibri" w:cs="Calibri" w:eastAsia="Calibri" w:hAnsi="Calibri"/>
          <w:sz w:val="24"/>
          <w:szCs w:val="24"/>
          <w:shd w:fill="f2f2f2" w:val="clear"/>
        </w:rPr>
      </w:pPr>
      <w:r w:rsidDel="00000000" w:rsidR="00000000" w:rsidRPr="00000000">
        <w:rPr>
          <w:rFonts w:ascii="Calibri" w:cs="Calibri" w:eastAsia="Calibri" w:hAnsi="Calibri"/>
          <w:sz w:val="24"/>
          <w:szCs w:val="24"/>
          <w:rtl w:val="0"/>
        </w:rPr>
        <w:t xml:space="preserve">On page 88, Goggin states: “The continued bifurcation of visual and verbal aspects of rhetoric in subtle and sometimes not so subtle ways reifies the words-written-language as a measure against, and somewhat above, all other potential resources for representation and communication. Thus; it tends to blind us to theorizing and historicizing other kinds of semiotic resources and practices. As a result, the divide severely limits what counts and who counts in its production, performance and circulation.”</w:t>
      </w:r>
      <w:r w:rsidDel="00000000" w:rsidR="00000000" w:rsidRPr="00000000">
        <w:rPr>
          <w:rtl w:val="0"/>
        </w:rPr>
      </w:r>
    </w:p>
    <w:p w:rsidR="00000000" w:rsidDel="00000000" w:rsidP="00000000" w:rsidRDefault="00000000" w:rsidRPr="00000000" w14:paraId="00000093">
      <w:pPr>
        <w:shd w:fill="ffffff" w:val="clear"/>
        <w:spacing w:after="0" w:lineRule="auto"/>
        <w:ind w:right="-17820"/>
        <w:rPr>
          <w:rFonts w:ascii="Calibri" w:cs="Calibri" w:eastAsia="Calibri" w:hAnsi="Calibri"/>
          <w:sz w:val="24"/>
          <w:szCs w:val="24"/>
          <w:shd w:fill="f2f2f2" w:val="clear"/>
        </w:rPr>
      </w:pPr>
      <w:r w:rsidDel="00000000" w:rsidR="00000000" w:rsidRPr="00000000">
        <w:rPr>
          <w:rtl w:val="0"/>
        </w:rPr>
      </w:r>
    </w:p>
    <w:p w:rsidR="00000000" w:rsidDel="00000000" w:rsidP="00000000" w:rsidRDefault="00000000" w:rsidRPr="00000000" w14:paraId="00000094">
      <w:pPr>
        <w:shd w:fill="ffffff" w:val="clear"/>
        <w:spacing w:after="20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5">
      <w:pPr>
        <w:numPr>
          <w:ilvl w:val="0"/>
          <w:numId w:val="11"/>
        </w:numPr>
        <w:shd w:fill="ffffff" w:val="clear"/>
        <w:spacing w:after="200" w:lineRule="auto"/>
        <w:ind w:left="1100" w:hanging="360"/>
        <w:rPr>
          <w:rFonts w:ascii="Calibri" w:cs="Calibri" w:eastAsia="Calibri" w:hAnsi="Calibri"/>
          <w:color w:val="000000"/>
        </w:rPr>
      </w:pPr>
      <w:r w:rsidDel="00000000" w:rsidR="00000000" w:rsidRPr="00000000">
        <w:rPr>
          <w:rFonts w:ascii="Calibri" w:cs="Calibri" w:eastAsia="Calibri" w:hAnsi="Calibri"/>
          <w:sz w:val="24"/>
          <w:szCs w:val="24"/>
          <w:rtl w:val="0"/>
        </w:rPr>
        <w:t xml:space="preserve">As another response from women at a particular time and in a particular place, what was the exigence and purpose of their needlework? How did that change over time?</w:t>
      </w:r>
    </w:p>
    <w:p w:rsidR="00000000" w:rsidDel="00000000" w:rsidP="00000000" w:rsidRDefault="00000000" w:rsidRPr="00000000" w14:paraId="00000096">
      <w:pPr>
        <w:shd w:fill="ffffff" w:val="clear"/>
        <w:spacing w:after="20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Goggin states: “Historically, needlework has offered an alternative rhetorical space to those who have been denied participation in dominant discourses by the virtue of their gender, class, ethnicity and race. A study of needlework, then, contributes to a richer, more robust understanding of rhetorical praxis and texts.” </w:t>
      </w:r>
    </w:p>
    <w:p w:rsidR="00000000" w:rsidDel="00000000" w:rsidP="00000000" w:rsidRDefault="00000000" w:rsidRPr="00000000" w14:paraId="00000097">
      <w:pPr>
        <w:numPr>
          <w:ilvl w:val="0"/>
          <w:numId w:val="11"/>
        </w:numPr>
        <w:shd w:fill="ffffff" w:val="clear"/>
        <w:spacing w:after="200" w:lineRule="auto"/>
        <w:ind w:left="1100" w:hanging="360"/>
        <w:rPr>
          <w:rFonts w:ascii="Calibri" w:cs="Calibri" w:eastAsia="Calibri" w:hAnsi="Calibri"/>
          <w:color w:val="000000"/>
        </w:rPr>
      </w:pPr>
      <w:r w:rsidDel="00000000" w:rsidR="00000000" w:rsidRPr="00000000">
        <w:rPr>
          <w:rFonts w:ascii="Calibri" w:cs="Calibri" w:eastAsia="Calibri" w:hAnsi="Calibri"/>
          <w:sz w:val="24"/>
          <w:szCs w:val="24"/>
          <w:rtl w:val="0"/>
        </w:rPr>
        <w:t xml:space="preserve">What are other examples of seemingly gendered practices that could also be considered for their meaning-making possibilities?</w:t>
      </w:r>
    </w:p>
    <w:p w:rsidR="00000000" w:rsidDel="00000000" w:rsidP="00000000" w:rsidRDefault="00000000" w:rsidRPr="00000000" w14:paraId="00000098">
      <w:pPr>
        <w:shd w:fill="ffffff" w:val="clear"/>
        <w:spacing w:after="20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My initial reaction to this is that the possibilities are somewhat limitless. By the same logic that needlework can be examined for meaning making, as Goggin states, it seems as though other forms of visual art like pottery or ceramics could be examined as well, or perhaps cooking/recipes. </w:t>
      </w:r>
    </w:p>
    <w:p w:rsidR="00000000" w:rsidDel="00000000" w:rsidP="00000000" w:rsidRDefault="00000000" w:rsidRPr="00000000" w14:paraId="00000099">
      <w:pPr>
        <w:spacing w:line="480" w:lineRule="auto"/>
        <w:ind w:firstLine="720"/>
        <w:rPr>
          <w:rFonts w:ascii="Calibri" w:cs="Calibri" w:eastAsia="Calibri" w:hAnsi="Calibri"/>
        </w:rPr>
      </w:pPr>
      <w:r w:rsidDel="00000000" w:rsidR="00000000" w:rsidRPr="00000000">
        <w:rPr>
          <w:rtl w:val="0"/>
        </w:rPr>
      </w:r>
    </w:p>
    <w:p w:rsidR="00000000" w:rsidDel="00000000" w:rsidP="00000000" w:rsidRDefault="00000000" w:rsidRPr="00000000" w14:paraId="0000009A">
      <w:pPr>
        <w:pStyle w:val="Heading1"/>
        <w:keepNext w:val="0"/>
        <w:keepLines w:val="0"/>
        <w:widowControl w:val="0"/>
        <w:pBdr>
          <w:top w:color="auto" w:space="0" w:sz="0" w:val="none"/>
          <w:bottom w:color="auto" w:space="0" w:sz="0" w:val="none"/>
          <w:between w:color="auto" w:space="0" w:sz="0" w:val="none"/>
        </w:pBdr>
        <w:shd w:fill="ffffff" w:val="clear"/>
        <w:spacing w:after="100" w:before="100" w:line="480" w:lineRule="auto"/>
        <w:ind w:left="60" w:right="60" w:firstLine="0"/>
        <w:rPr>
          <w:rFonts w:ascii="Verdana" w:cs="Verdana" w:eastAsia="Verdana" w:hAnsi="Verdana"/>
          <w:b w:val="1"/>
          <w:sz w:val="29"/>
          <w:szCs w:val="29"/>
        </w:rPr>
      </w:pPr>
      <w:bookmarkStart w:colFirst="0" w:colLast="0" w:name="_7v7cw6fi40j6" w:id="0"/>
      <w:bookmarkEnd w:id="0"/>
      <w:r w:rsidDel="00000000" w:rsidR="00000000" w:rsidRPr="00000000">
        <w:rPr>
          <w:rFonts w:ascii="Verdana" w:cs="Verdana" w:eastAsia="Verdana" w:hAnsi="Verdana"/>
          <w:b w:val="1"/>
          <w:sz w:val="29"/>
          <w:szCs w:val="29"/>
          <w:rtl w:val="0"/>
        </w:rPr>
        <w:t xml:space="preserve">Lara Croft: Feminist Icon or Cyberbimbo?</w:t>
      </w:r>
    </w:p>
    <w:p w:rsidR="00000000" w:rsidDel="00000000" w:rsidP="00000000" w:rsidRDefault="00000000" w:rsidRPr="00000000" w14:paraId="0000009B">
      <w:pPr>
        <w:pStyle w:val="Heading2"/>
        <w:keepNext w:val="0"/>
        <w:keepLines w:val="0"/>
        <w:widowControl w:val="0"/>
        <w:shd w:fill="ffffff" w:val="clear"/>
        <w:spacing w:after="0" w:line="480" w:lineRule="auto"/>
        <w:ind w:left="60" w:right="60" w:firstLine="0"/>
        <w:rPr>
          <w:rFonts w:ascii="Verdana" w:cs="Verdana" w:eastAsia="Verdana" w:hAnsi="Verdana"/>
          <w:b w:val="1"/>
          <w:sz w:val="28"/>
          <w:szCs w:val="28"/>
        </w:rPr>
      </w:pPr>
      <w:bookmarkStart w:colFirst="0" w:colLast="0" w:name="_6oq61hkz7gil" w:id="1"/>
      <w:bookmarkEnd w:id="1"/>
      <w:r w:rsidDel="00000000" w:rsidR="00000000" w:rsidRPr="00000000">
        <w:rPr>
          <w:rFonts w:ascii="Verdana" w:cs="Verdana" w:eastAsia="Verdana" w:hAnsi="Verdana"/>
          <w:b w:val="1"/>
          <w:sz w:val="28"/>
          <w:szCs w:val="28"/>
          <w:rtl w:val="0"/>
        </w:rPr>
        <w:t xml:space="preserve">On the Limits of Textual Analysis</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pPr>
      <w:hyperlink r:id="rId80">
        <w:r w:rsidDel="00000000" w:rsidR="00000000" w:rsidRPr="00000000">
          <w:rPr>
            <w:color w:val="1155cc"/>
            <w:u w:val="single"/>
            <w:rtl w:val="0"/>
          </w:rPr>
          <w:t xml:space="preserve">https://gamestudies.org/2003/articles/engelbrecht</w:t>
        </w:r>
      </w:hyperlink>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pPr>
      <w:hyperlink r:id="rId81">
        <w:r w:rsidDel="00000000" w:rsidR="00000000" w:rsidRPr="00000000">
          <w:rPr>
            <w:color w:val="1155cc"/>
            <w:u w:val="single"/>
            <w:rtl w:val="0"/>
          </w:rPr>
          <w:t xml:space="preserve">https://gamestudies.org/1803/articles/stone</w:t>
        </w:r>
      </w:hyperlink>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Verdana" w:cs="Verdana" w:eastAsia="Verdana" w:hAnsi="Verdana"/>
          <w:sz w:val="17"/>
          <w:szCs w:val="17"/>
          <w:highlight w:val="white"/>
        </w:rPr>
      </w:pPr>
      <w:r w:rsidDel="00000000" w:rsidR="00000000" w:rsidRPr="00000000">
        <w:rPr>
          <w:rFonts w:ascii="Verdana" w:cs="Verdana" w:eastAsia="Verdana" w:hAnsi="Verdana"/>
          <w:sz w:val="17"/>
          <w:szCs w:val="17"/>
          <w:highlight w:val="white"/>
          <w:rtl w:val="0"/>
        </w:rPr>
        <w:t xml:space="preserve">Han, H. &amp; Song, S. (2014). Characterisation of Female Protagonists in Videogames: A Focus on Lara Croft. </w:t>
      </w:r>
      <w:r w:rsidDel="00000000" w:rsidR="00000000" w:rsidRPr="00000000">
        <w:rPr>
          <w:rFonts w:ascii="Verdana" w:cs="Verdana" w:eastAsia="Verdana" w:hAnsi="Verdana"/>
          <w:i w:val="1"/>
          <w:sz w:val="17"/>
          <w:szCs w:val="17"/>
          <w:highlight w:val="white"/>
          <w:rtl w:val="0"/>
        </w:rPr>
        <w:t xml:space="preserve">Asian Journal of Women’s Studies, </w:t>
      </w:r>
      <w:r w:rsidDel="00000000" w:rsidR="00000000" w:rsidRPr="00000000">
        <w:rPr>
          <w:rFonts w:ascii="Verdana" w:cs="Verdana" w:eastAsia="Verdana" w:hAnsi="Verdana"/>
          <w:sz w:val="17"/>
          <w:szCs w:val="17"/>
          <w:highlight w:val="white"/>
          <w:rtl w:val="0"/>
        </w:rPr>
        <w:t xml:space="preserve">20(3), 27-49.</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Verdana" w:cs="Verdana" w:eastAsia="Verdana" w:hAnsi="Verdana"/>
          <w:sz w:val="17"/>
          <w:szCs w:val="17"/>
          <w:highlight w:val="white"/>
        </w:rPr>
      </w:pPr>
      <w:r w:rsidDel="00000000" w:rsidR="00000000" w:rsidRPr="00000000">
        <w:rPr>
          <w:rFonts w:ascii="Verdana" w:cs="Verdana" w:eastAsia="Verdana" w:hAnsi="Verdana"/>
          <w:sz w:val="17"/>
          <w:szCs w:val="17"/>
          <w:highlight w:val="white"/>
          <w:rtl w:val="0"/>
        </w:rPr>
        <w:t xml:space="preserve">Kennedy, H. W. (2002). Lara Croft: Feminist Icon or Cyberbimbo? On the limits of Textual Analysis. </w:t>
      </w:r>
      <w:r w:rsidDel="00000000" w:rsidR="00000000" w:rsidRPr="00000000">
        <w:rPr>
          <w:rFonts w:ascii="Verdana" w:cs="Verdana" w:eastAsia="Verdana" w:hAnsi="Verdana"/>
          <w:i w:val="1"/>
          <w:sz w:val="17"/>
          <w:szCs w:val="17"/>
          <w:highlight w:val="white"/>
          <w:rtl w:val="0"/>
        </w:rPr>
        <w:t xml:space="preserve">Game Studies, </w:t>
      </w:r>
      <w:r w:rsidDel="00000000" w:rsidR="00000000" w:rsidRPr="00000000">
        <w:rPr>
          <w:rFonts w:ascii="Verdana" w:cs="Verdana" w:eastAsia="Verdana" w:hAnsi="Verdana"/>
          <w:sz w:val="17"/>
          <w:szCs w:val="17"/>
          <w:highlight w:val="white"/>
          <w:rtl w:val="0"/>
        </w:rPr>
        <w:t xml:space="preserve">2(2). </w:t>
      </w:r>
      <w:hyperlink r:id="rId82">
        <w:r w:rsidDel="00000000" w:rsidR="00000000" w:rsidRPr="00000000">
          <w:rPr>
            <w:rFonts w:ascii="Verdana" w:cs="Verdana" w:eastAsia="Verdana" w:hAnsi="Verdana"/>
            <w:color w:val="1155cc"/>
            <w:sz w:val="17"/>
            <w:szCs w:val="17"/>
            <w:highlight w:val="white"/>
            <w:u w:val="single"/>
            <w:rtl w:val="0"/>
          </w:rPr>
          <w:t xml:space="preserve">http://gamestudies.org/0202/kennedy/</w:t>
        </w:r>
      </w:hyperlink>
      <w:r w:rsidDel="00000000" w:rsidR="00000000" w:rsidRPr="00000000">
        <w:rPr>
          <w:rFonts w:ascii="Verdana" w:cs="Verdana" w:eastAsia="Verdana" w:hAnsi="Verdana"/>
          <w:sz w:val="17"/>
          <w:szCs w:val="17"/>
          <w:highlight w:val="white"/>
          <w:rtl w:val="0"/>
        </w:rPr>
        <w:t xml:space="preserve">.</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Verdana" w:cs="Verdana" w:eastAsia="Verdana" w:hAnsi="Verdana"/>
          <w:sz w:val="17"/>
          <w:szCs w:val="17"/>
          <w:highlight w:val="white"/>
        </w:rPr>
      </w:pPr>
      <w:r w:rsidDel="00000000" w:rsidR="00000000" w:rsidRPr="00000000">
        <w:rPr>
          <w:rFonts w:ascii="Verdana" w:cs="Verdana" w:eastAsia="Verdana" w:hAnsi="Verdana"/>
          <w:sz w:val="17"/>
          <w:szCs w:val="17"/>
          <w:highlight w:val="white"/>
          <w:rtl w:val="0"/>
        </w:rPr>
        <w:t xml:space="preserve">MacCallum-Stewart, E. (2014). “Take That, Bitches!” Refiguring Lara Croft in Feminist Game Narratives. </w:t>
      </w:r>
      <w:r w:rsidDel="00000000" w:rsidR="00000000" w:rsidRPr="00000000">
        <w:rPr>
          <w:rFonts w:ascii="Verdana" w:cs="Verdana" w:eastAsia="Verdana" w:hAnsi="Verdana"/>
          <w:i w:val="1"/>
          <w:sz w:val="17"/>
          <w:szCs w:val="17"/>
          <w:highlight w:val="white"/>
          <w:rtl w:val="0"/>
        </w:rPr>
        <w:t xml:space="preserve">Game Studies, </w:t>
      </w:r>
      <w:r w:rsidDel="00000000" w:rsidR="00000000" w:rsidRPr="00000000">
        <w:rPr>
          <w:rFonts w:ascii="Verdana" w:cs="Verdana" w:eastAsia="Verdana" w:hAnsi="Verdana"/>
          <w:sz w:val="17"/>
          <w:szCs w:val="17"/>
          <w:highlight w:val="white"/>
          <w:rtl w:val="0"/>
        </w:rPr>
        <w:t xml:space="preserve">14(2). </w:t>
      </w:r>
      <w:hyperlink r:id="rId83">
        <w:r w:rsidDel="00000000" w:rsidR="00000000" w:rsidRPr="00000000">
          <w:rPr>
            <w:rFonts w:ascii="Verdana" w:cs="Verdana" w:eastAsia="Verdana" w:hAnsi="Verdana"/>
            <w:color w:val="1155cc"/>
            <w:sz w:val="17"/>
            <w:szCs w:val="17"/>
            <w:highlight w:val="white"/>
            <w:u w:val="single"/>
            <w:rtl w:val="0"/>
          </w:rPr>
          <w:t xml:space="preserve">http://gamestudies.org/1402/articles/maccallumstewart</w:t>
        </w:r>
      </w:hyperlink>
      <w:r w:rsidDel="00000000" w:rsidR="00000000" w:rsidRPr="00000000">
        <w:rPr>
          <w:rFonts w:ascii="Verdana" w:cs="Verdana" w:eastAsia="Verdana" w:hAnsi="Verdana"/>
          <w:sz w:val="17"/>
          <w:szCs w:val="17"/>
          <w:highlight w:val="white"/>
          <w:rtl w:val="0"/>
        </w:rPr>
        <w:t xml:space="preserve">.</w:t>
      </w:r>
    </w:p>
    <w:p w:rsidR="00000000" w:rsidDel="00000000" w:rsidP="00000000" w:rsidRDefault="00000000" w:rsidRPr="00000000" w14:paraId="000000A1">
      <w:pPr>
        <w:widowControl w:val="0"/>
        <w:shd w:fill="ffffff" w:val="clear"/>
        <w:spacing w:after="160" w:before="160" w:line="261.8181818181818" w:lineRule="auto"/>
        <w:rPr>
          <w:rFonts w:ascii="Verdana" w:cs="Verdana" w:eastAsia="Verdana" w:hAnsi="Verdana"/>
          <w:sz w:val="17"/>
          <w:szCs w:val="17"/>
          <w:highlight w:val="white"/>
        </w:rPr>
      </w:pPr>
      <w:r w:rsidDel="00000000" w:rsidR="00000000" w:rsidRPr="00000000">
        <w:rPr>
          <w:rFonts w:ascii="Verdana" w:cs="Verdana" w:eastAsia="Verdana" w:hAnsi="Verdana"/>
          <w:sz w:val="17"/>
          <w:szCs w:val="17"/>
          <w:highlight w:val="white"/>
          <w:rtl w:val="0"/>
        </w:rPr>
        <w:t xml:space="preserve">McRobbie, A. (2004). Post-feminism and Popular Culture. </w:t>
      </w:r>
      <w:r w:rsidDel="00000000" w:rsidR="00000000" w:rsidRPr="00000000">
        <w:rPr>
          <w:rFonts w:ascii="Verdana" w:cs="Verdana" w:eastAsia="Verdana" w:hAnsi="Verdana"/>
          <w:i w:val="1"/>
          <w:sz w:val="17"/>
          <w:szCs w:val="17"/>
          <w:highlight w:val="white"/>
          <w:rtl w:val="0"/>
        </w:rPr>
        <w:t xml:space="preserve">Feminist Media Studies, </w:t>
      </w:r>
      <w:r w:rsidDel="00000000" w:rsidR="00000000" w:rsidRPr="00000000">
        <w:rPr>
          <w:rFonts w:ascii="Verdana" w:cs="Verdana" w:eastAsia="Verdana" w:hAnsi="Verdana"/>
          <w:sz w:val="17"/>
          <w:szCs w:val="17"/>
          <w:highlight w:val="white"/>
          <w:rtl w:val="0"/>
        </w:rPr>
        <w:t xml:space="preserve">4(3), 255-264.</w:t>
      </w:r>
    </w:p>
    <w:p w:rsidR="00000000" w:rsidDel="00000000" w:rsidP="00000000" w:rsidRDefault="00000000" w:rsidRPr="00000000" w14:paraId="000000A2">
      <w:pPr>
        <w:widowControl w:val="0"/>
        <w:shd w:fill="ffffff" w:val="clear"/>
        <w:spacing w:after="160" w:before="160" w:line="261.8181818181818" w:lineRule="auto"/>
        <w:rPr>
          <w:rFonts w:ascii="Verdana" w:cs="Verdana" w:eastAsia="Verdana" w:hAnsi="Verdana"/>
          <w:sz w:val="17"/>
          <w:szCs w:val="17"/>
          <w:highlight w:val="white"/>
        </w:rPr>
      </w:pPr>
      <w:r w:rsidDel="00000000" w:rsidR="00000000" w:rsidRPr="00000000">
        <w:rPr>
          <w:rFonts w:ascii="Verdana" w:cs="Verdana" w:eastAsia="Verdana" w:hAnsi="Verdana"/>
          <w:sz w:val="17"/>
          <w:szCs w:val="17"/>
          <w:highlight w:val="white"/>
          <w:rtl w:val="0"/>
        </w:rPr>
        <w:t xml:space="preserve">Mikula, M. (2004). Lara Croft, Between a Feminist Icon and Male Fantasy. In R. Schubart &amp; A. Gjelsvik (Eds.), </w:t>
      </w:r>
      <w:r w:rsidDel="00000000" w:rsidR="00000000" w:rsidRPr="00000000">
        <w:rPr>
          <w:rFonts w:ascii="Verdana" w:cs="Verdana" w:eastAsia="Verdana" w:hAnsi="Verdana"/>
          <w:i w:val="1"/>
          <w:sz w:val="17"/>
          <w:szCs w:val="17"/>
          <w:highlight w:val="white"/>
          <w:rtl w:val="0"/>
        </w:rPr>
        <w:t xml:space="preserve">Femme Fatalities: Representations of Strong Women in the Media, </w:t>
      </w:r>
      <w:r w:rsidDel="00000000" w:rsidR="00000000" w:rsidRPr="00000000">
        <w:rPr>
          <w:rFonts w:ascii="Verdana" w:cs="Verdana" w:eastAsia="Verdana" w:hAnsi="Verdana"/>
          <w:sz w:val="17"/>
          <w:szCs w:val="17"/>
          <w:highlight w:val="white"/>
          <w:rtl w:val="0"/>
        </w:rPr>
        <w:t xml:space="preserve">(pp.57-70) Goteborg: Nordicom.</w:t>
      </w:r>
    </w:p>
    <w:p w:rsidR="00000000" w:rsidDel="00000000" w:rsidP="00000000" w:rsidRDefault="00000000" w:rsidRPr="00000000" w14:paraId="000000A3">
      <w:pPr>
        <w:widowControl w:val="0"/>
        <w:shd w:fill="ffffff" w:val="clear"/>
        <w:spacing w:after="160" w:before="160" w:line="261.8181818181818" w:lineRule="auto"/>
        <w:rPr>
          <w:rFonts w:ascii="Verdana" w:cs="Verdana" w:eastAsia="Verdana" w:hAnsi="Verdana"/>
          <w:sz w:val="17"/>
          <w:szCs w:val="17"/>
          <w:highlight w:val="white"/>
        </w:rPr>
      </w:pPr>
      <w:r w:rsidDel="00000000" w:rsidR="00000000" w:rsidRPr="00000000">
        <w:rPr>
          <w:rFonts w:ascii="Verdana" w:cs="Verdana" w:eastAsia="Verdana" w:hAnsi="Verdana"/>
          <w:sz w:val="17"/>
          <w:szCs w:val="17"/>
          <w:highlight w:val="white"/>
          <w:rtl w:val="0"/>
        </w:rPr>
        <w:t xml:space="preserve">Mikula, M. (2003). Gender and Videogames: The political valency of Lara Croft. </w:t>
      </w:r>
      <w:r w:rsidDel="00000000" w:rsidR="00000000" w:rsidRPr="00000000">
        <w:rPr>
          <w:rFonts w:ascii="Verdana" w:cs="Verdana" w:eastAsia="Verdana" w:hAnsi="Verdana"/>
          <w:i w:val="1"/>
          <w:sz w:val="17"/>
          <w:szCs w:val="17"/>
          <w:highlight w:val="white"/>
          <w:rtl w:val="0"/>
        </w:rPr>
        <w:t xml:space="preserve">Continuum, </w:t>
      </w:r>
      <w:r w:rsidDel="00000000" w:rsidR="00000000" w:rsidRPr="00000000">
        <w:rPr>
          <w:rFonts w:ascii="Verdana" w:cs="Verdana" w:eastAsia="Verdana" w:hAnsi="Verdana"/>
          <w:sz w:val="17"/>
          <w:szCs w:val="17"/>
          <w:highlight w:val="white"/>
          <w:rtl w:val="0"/>
        </w:rPr>
        <w:t xml:space="preserve">17(1), 79-87.</w:t>
      </w:r>
    </w:p>
    <w:p w:rsidR="00000000" w:rsidDel="00000000" w:rsidP="00000000" w:rsidRDefault="00000000" w:rsidRPr="00000000" w14:paraId="000000A4">
      <w:pPr>
        <w:widowControl w:val="0"/>
        <w:shd w:fill="ffffff" w:val="clear"/>
        <w:spacing w:after="160" w:before="160" w:line="261.8181818181818" w:lineRule="auto"/>
        <w:rPr>
          <w:rFonts w:ascii="Verdana" w:cs="Verdana" w:eastAsia="Verdana" w:hAnsi="Verdana"/>
          <w:sz w:val="17"/>
          <w:szCs w:val="17"/>
          <w:highlight w:val="white"/>
        </w:rPr>
      </w:pPr>
      <w:r w:rsidDel="00000000" w:rsidR="00000000" w:rsidRPr="00000000">
        <w:rPr>
          <w:rFonts w:ascii="Verdana" w:cs="Verdana" w:eastAsia="Verdana" w:hAnsi="Verdana"/>
          <w:sz w:val="17"/>
          <w:szCs w:val="17"/>
          <w:highlight w:val="white"/>
          <w:rtl w:val="0"/>
        </w:rPr>
        <w:t xml:space="preserve">Schleiner, A. (2001). Does Lara Croft Wear Fake Polygons? Gender and Gender-Role Subversion in Computer Adventure Games. </w:t>
      </w:r>
      <w:r w:rsidDel="00000000" w:rsidR="00000000" w:rsidRPr="00000000">
        <w:rPr>
          <w:rFonts w:ascii="Verdana" w:cs="Verdana" w:eastAsia="Verdana" w:hAnsi="Verdana"/>
          <w:i w:val="1"/>
          <w:sz w:val="17"/>
          <w:szCs w:val="17"/>
          <w:highlight w:val="white"/>
          <w:rtl w:val="0"/>
        </w:rPr>
        <w:t xml:space="preserve">Leonardo, </w:t>
      </w:r>
      <w:r w:rsidDel="00000000" w:rsidR="00000000" w:rsidRPr="00000000">
        <w:rPr>
          <w:rFonts w:ascii="Verdana" w:cs="Verdana" w:eastAsia="Verdana" w:hAnsi="Verdana"/>
          <w:sz w:val="17"/>
          <w:szCs w:val="17"/>
          <w:highlight w:val="white"/>
          <w:rtl w:val="0"/>
        </w:rPr>
        <w:t xml:space="preserve">34(3), 221-226.</w:t>
      </w:r>
    </w:p>
    <w:p w:rsidR="00000000" w:rsidDel="00000000" w:rsidP="00000000" w:rsidRDefault="00000000" w:rsidRPr="00000000" w14:paraId="000000A5">
      <w:pPr>
        <w:widowControl w:val="0"/>
        <w:shd w:fill="ffffff" w:val="clear"/>
        <w:spacing w:after="160" w:before="160" w:line="261.8181818181818" w:lineRule="auto"/>
        <w:rPr>
          <w:rFonts w:ascii="Verdana" w:cs="Verdana" w:eastAsia="Verdana" w:hAnsi="Verdana"/>
          <w:sz w:val="17"/>
          <w:szCs w:val="17"/>
          <w:highlight w:val="white"/>
        </w:rPr>
      </w:pPr>
      <w:r w:rsidDel="00000000" w:rsidR="00000000" w:rsidRPr="00000000">
        <w:rPr>
          <w:rFonts w:ascii="Verdana" w:cs="Verdana" w:eastAsia="Verdana" w:hAnsi="Verdana"/>
          <w:sz w:val="17"/>
          <w:szCs w:val="17"/>
          <w:highlight w:val="white"/>
          <w:rtl w:val="0"/>
        </w:rPr>
        <w:t xml:space="preserve">Stang, S. (2017). Big Daddies and Broken Men: Father-Daughter Relationships in Videogames. </w:t>
      </w:r>
      <w:r w:rsidDel="00000000" w:rsidR="00000000" w:rsidRPr="00000000">
        <w:rPr>
          <w:rFonts w:ascii="Verdana" w:cs="Verdana" w:eastAsia="Verdana" w:hAnsi="Verdana"/>
          <w:i w:val="1"/>
          <w:sz w:val="17"/>
          <w:szCs w:val="17"/>
          <w:highlight w:val="white"/>
          <w:rtl w:val="0"/>
        </w:rPr>
        <w:t xml:space="preserve">Loading…</w:t>
      </w:r>
      <w:r w:rsidDel="00000000" w:rsidR="00000000" w:rsidRPr="00000000">
        <w:rPr>
          <w:rFonts w:ascii="Verdana" w:cs="Verdana" w:eastAsia="Verdana" w:hAnsi="Verdana"/>
          <w:sz w:val="17"/>
          <w:szCs w:val="17"/>
          <w:highlight w:val="white"/>
          <w:rtl w:val="0"/>
        </w:rPr>
        <w:t xml:space="preserve">, 10(16), 162-174.</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Verdana" w:cs="Verdana" w:eastAsia="Verdana" w:hAnsi="Verdana"/>
          <w:sz w:val="17"/>
          <w:szCs w:val="17"/>
          <w:highlight w:val="white"/>
        </w:rPr>
      </w:pPr>
      <w:r w:rsidDel="00000000" w:rsidR="00000000" w:rsidRPr="00000000">
        <w:rPr>
          <w:rFonts w:ascii="Verdana" w:cs="Verdana" w:eastAsia="Verdana" w:hAnsi="Verdana"/>
          <w:sz w:val="17"/>
          <w:szCs w:val="17"/>
          <w:highlight w:val="white"/>
          <w:rtl w:val="0"/>
        </w:rPr>
        <w:t xml:space="preserve">Walden, K. (2004). Run Lara Run! The Impact of Computer Games on Cinema’s Action Heroine. In R. Schubart &amp; A. Gjelsvic (Eds.),</w:t>
      </w:r>
      <w:r w:rsidDel="00000000" w:rsidR="00000000" w:rsidRPr="00000000">
        <w:rPr>
          <w:rFonts w:ascii="Verdana" w:cs="Verdana" w:eastAsia="Verdana" w:hAnsi="Verdana"/>
          <w:i w:val="1"/>
          <w:sz w:val="17"/>
          <w:szCs w:val="17"/>
          <w:highlight w:val="white"/>
          <w:rtl w:val="0"/>
        </w:rPr>
        <w:t xml:space="preserve"> Femme Fatalities: Representations of Strong Women in the Media</w:t>
      </w:r>
      <w:r w:rsidDel="00000000" w:rsidR="00000000" w:rsidRPr="00000000">
        <w:rPr>
          <w:rFonts w:ascii="Verdana" w:cs="Verdana" w:eastAsia="Verdana" w:hAnsi="Verdana"/>
          <w:sz w:val="17"/>
          <w:szCs w:val="17"/>
          <w:highlight w:val="white"/>
          <w:rtl w:val="0"/>
        </w:rPr>
        <w:t xml:space="preserve"> (pp.71-88). Goteborg: Nordicom.</w:t>
      </w:r>
    </w:p>
    <w:p w:rsidR="00000000" w:rsidDel="00000000" w:rsidP="00000000" w:rsidRDefault="00000000" w:rsidRPr="00000000" w14:paraId="000000A7">
      <w:pPr>
        <w:widowControl w:val="0"/>
        <w:spacing w:line="240" w:lineRule="auto"/>
        <w:ind w:left="720"/>
        <w:rPr>
          <w:rFonts w:ascii="Verdana" w:cs="Verdana" w:eastAsia="Verdana" w:hAnsi="Verdana"/>
          <w:sz w:val="17"/>
          <w:szCs w:val="17"/>
          <w:highlight w:val="white"/>
        </w:rPr>
      </w:pPr>
      <w:r w:rsidDel="00000000" w:rsidR="00000000" w:rsidRPr="00000000">
        <w:rPr>
          <w:rFonts w:ascii="Verdana" w:cs="Verdana" w:eastAsia="Verdana" w:hAnsi="Verdana"/>
          <w:sz w:val="17"/>
          <w:szCs w:val="17"/>
          <w:highlight w:val="white"/>
          <w:rtl w:val="0"/>
        </w:rPr>
        <w:t xml:space="preserve">Shaw, Adrienne, and Bonnie Ruberg. 2017. “Imagining Queer Game Studies.”</w:t>
      </w:r>
    </w:p>
    <w:p w:rsidR="00000000" w:rsidDel="00000000" w:rsidP="00000000" w:rsidRDefault="00000000" w:rsidRPr="00000000" w14:paraId="000000A8">
      <w:pPr>
        <w:widowControl w:val="0"/>
        <w:spacing w:line="240" w:lineRule="auto"/>
        <w:ind w:left="720"/>
        <w:rPr>
          <w:rFonts w:ascii="Verdana" w:cs="Verdana" w:eastAsia="Verdana" w:hAnsi="Verdana"/>
          <w:sz w:val="17"/>
          <w:szCs w:val="17"/>
          <w:highlight w:val="white"/>
        </w:rPr>
      </w:pPr>
      <w:r w:rsidDel="00000000" w:rsidR="00000000" w:rsidRPr="00000000">
        <w:rPr>
          <w:rFonts w:ascii="Verdana" w:cs="Verdana" w:eastAsia="Verdana" w:hAnsi="Verdana"/>
          <w:sz w:val="17"/>
          <w:szCs w:val="17"/>
          <w:highlight w:val="white"/>
          <w:rtl w:val="0"/>
        </w:rPr>
        <w:t xml:space="preserve">In Queer Game Studies, edited by Bonnie Ruberg and Adrienne Shaw, ix–</w:t>
      </w:r>
    </w:p>
    <w:p w:rsidR="00000000" w:rsidDel="00000000" w:rsidP="00000000" w:rsidRDefault="00000000" w:rsidRPr="00000000" w14:paraId="000000A9">
      <w:pPr>
        <w:widowControl w:val="0"/>
        <w:spacing w:line="240" w:lineRule="auto"/>
        <w:ind w:left="720"/>
        <w:rPr>
          <w:rFonts w:ascii="Verdana" w:cs="Verdana" w:eastAsia="Verdana" w:hAnsi="Verdana"/>
          <w:sz w:val="17"/>
          <w:szCs w:val="17"/>
          <w:highlight w:val="white"/>
        </w:rPr>
      </w:pPr>
      <w:r w:rsidDel="00000000" w:rsidR="00000000" w:rsidRPr="00000000">
        <w:rPr>
          <w:rFonts w:ascii="Verdana" w:cs="Verdana" w:eastAsia="Verdana" w:hAnsi="Verdana"/>
          <w:sz w:val="17"/>
          <w:szCs w:val="17"/>
          <w:highlight w:val="white"/>
          <w:rtl w:val="0"/>
        </w:rPr>
        <w:t xml:space="preserve">xxxiii.Minneapolis: Univ. of Minnesota Press.</w:t>
      </w:r>
    </w:p>
    <w:p w:rsidR="00000000" w:rsidDel="00000000" w:rsidP="00000000" w:rsidRDefault="00000000" w:rsidRPr="00000000" w14:paraId="000000AA">
      <w:pPr>
        <w:widowControl w:val="0"/>
        <w:spacing w:line="240" w:lineRule="auto"/>
        <w:ind w:left="720"/>
        <w:rPr>
          <w:rFonts w:ascii="Verdana" w:cs="Verdana" w:eastAsia="Verdana" w:hAnsi="Verdana"/>
          <w:sz w:val="17"/>
          <w:szCs w:val="17"/>
          <w:highlight w:val="white"/>
        </w:rPr>
      </w:pPr>
      <w:r w:rsidDel="00000000" w:rsidR="00000000" w:rsidRPr="00000000">
        <w:rPr>
          <w:rtl w:val="0"/>
        </w:rPr>
      </w:r>
    </w:p>
    <w:p w:rsidR="00000000" w:rsidDel="00000000" w:rsidP="00000000" w:rsidRDefault="00000000" w:rsidRPr="00000000" w14:paraId="000000AB">
      <w:pPr>
        <w:widowControl w:val="0"/>
        <w:spacing w:line="240" w:lineRule="auto"/>
        <w:ind w:left="720"/>
        <w:rPr>
          <w:rFonts w:ascii="Verdana" w:cs="Verdana" w:eastAsia="Verdana" w:hAnsi="Verdana"/>
          <w:sz w:val="17"/>
          <w:szCs w:val="17"/>
          <w:highlight w:val="white"/>
        </w:rPr>
      </w:pPr>
      <w:r w:rsidDel="00000000" w:rsidR="00000000" w:rsidRPr="00000000">
        <w:rPr>
          <w:rFonts w:ascii="Verdana" w:cs="Verdana" w:eastAsia="Verdana" w:hAnsi="Verdana"/>
          <w:sz w:val="17"/>
          <w:szCs w:val="17"/>
          <w:highlight w:val="white"/>
          <w:rtl w:val="0"/>
        </w:rPr>
        <w:t xml:space="preserve">Chess, Shira. 2017. Ready Player Two: Women Gamers and Designed Identity.</w:t>
      </w:r>
    </w:p>
    <w:p w:rsidR="00000000" w:rsidDel="00000000" w:rsidP="00000000" w:rsidRDefault="00000000" w:rsidRPr="00000000" w14:paraId="000000AC">
      <w:pPr>
        <w:widowControl w:val="0"/>
        <w:spacing w:line="240" w:lineRule="auto"/>
        <w:ind w:left="720"/>
        <w:rPr>
          <w:rFonts w:ascii="Verdana" w:cs="Verdana" w:eastAsia="Verdana" w:hAnsi="Verdana"/>
          <w:sz w:val="17"/>
          <w:szCs w:val="17"/>
          <w:highlight w:val="white"/>
        </w:rPr>
      </w:pPr>
      <w:r w:rsidDel="00000000" w:rsidR="00000000" w:rsidRPr="00000000">
        <w:rPr>
          <w:rFonts w:ascii="Verdana" w:cs="Verdana" w:eastAsia="Verdana" w:hAnsi="Verdana"/>
          <w:sz w:val="17"/>
          <w:szCs w:val="17"/>
          <w:highlight w:val="white"/>
          <w:rtl w:val="0"/>
        </w:rPr>
        <w:t xml:space="preserve">Minneapolis: Univ. of Minnesota Press.</w:t>
      </w:r>
    </w:p>
    <w:p w:rsidR="00000000" w:rsidDel="00000000" w:rsidP="00000000" w:rsidRDefault="00000000" w:rsidRPr="00000000" w14:paraId="000000AD">
      <w:pPr>
        <w:widowControl w:val="0"/>
        <w:spacing w:line="240" w:lineRule="auto"/>
        <w:ind w:left="720"/>
        <w:rPr>
          <w:rFonts w:ascii="Verdana" w:cs="Verdana" w:eastAsia="Verdana" w:hAnsi="Verdana"/>
          <w:sz w:val="17"/>
          <w:szCs w:val="17"/>
          <w:highlight w:val="white"/>
        </w:rPr>
      </w:pPr>
      <w:r w:rsidDel="00000000" w:rsidR="00000000" w:rsidRPr="00000000">
        <w:rPr>
          <w:rtl w:val="0"/>
        </w:rPr>
      </w:r>
    </w:p>
    <w:p w:rsidR="00000000" w:rsidDel="00000000" w:rsidP="00000000" w:rsidRDefault="00000000" w:rsidRPr="00000000" w14:paraId="000000AE">
      <w:pPr>
        <w:widowControl w:val="0"/>
        <w:spacing w:line="240" w:lineRule="auto"/>
        <w:ind w:left="720"/>
        <w:rPr>
          <w:rFonts w:ascii="Open Sans" w:cs="Open Sans" w:eastAsia="Open Sans" w:hAnsi="Open Sans"/>
          <w:sz w:val="21"/>
          <w:szCs w:val="21"/>
          <w:highlight w:val="white"/>
        </w:rPr>
      </w:pPr>
      <w:r w:rsidDel="00000000" w:rsidR="00000000" w:rsidRPr="00000000">
        <w:rPr>
          <w:rFonts w:ascii="Open Sans" w:cs="Open Sans" w:eastAsia="Open Sans" w:hAnsi="Open Sans"/>
          <w:sz w:val="21"/>
          <w:szCs w:val="21"/>
          <w:highlight w:val="white"/>
          <w:rtl w:val="0"/>
        </w:rPr>
        <w:t xml:space="preserve">Bridget Blodgett and Anastasia Salter. 2018. Ghostbusters is For Boys: Understanding Geek Masculinity's Role in the Alt-right. </w:t>
      </w:r>
      <w:r w:rsidDel="00000000" w:rsidR="00000000" w:rsidRPr="00000000">
        <w:rPr>
          <w:rFonts w:ascii="Open Sans" w:cs="Open Sans" w:eastAsia="Open Sans" w:hAnsi="Open Sans"/>
          <w:i w:val="1"/>
          <w:sz w:val="21"/>
          <w:szCs w:val="21"/>
          <w:highlight w:val="white"/>
          <w:rtl w:val="0"/>
        </w:rPr>
        <w:t xml:space="preserve">Commun. Cult. Crit</w:t>
      </w:r>
      <w:r w:rsidDel="00000000" w:rsidR="00000000" w:rsidRPr="00000000">
        <w:rPr>
          <w:rFonts w:ascii="Open Sans" w:cs="Open Sans" w:eastAsia="Open Sans" w:hAnsi="Open Sans"/>
          <w:sz w:val="21"/>
          <w:szCs w:val="21"/>
          <w:highlight w:val="white"/>
          <w:rtl w:val="0"/>
        </w:rPr>
        <w:t xml:space="preserve">. 11, 1 (March 2018), 133--146.</w:t>
      </w:r>
    </w:p>
    <w:p w:rsidR="00000000" w:rsidDel="00000000" w:rsidP="00000000" w:rsidRDefault="00000000" w:rsidRPr="00000000" w14:paraId="000000AF">
      <w:pPr>
        <w:widowControl w:val="0"/>
        <w:spacing w:line="240" w:lineRule="auto"/>
        <w:ind w:left="720"/>
        <w:rPr>
          <w:rFonts w:ascii="Open Sans" w:cs="Open Sans" w:eastAsia="Open Sans" w:hAnsi="Open Sans"/>
          <w:sz w:val="21"/>
          <w:szCs w:val="21"/>
          <w:highlight w:val="white"/>
        </w:rPr>
      </w:pPr>
      <w:r w:rsidDel="00000000" w:rsidR="00000000" w:rsidRPr="00000000">
        <w:rPr>
          <w:rtl w:val="0"/>
        </w:rPr>
      </w:r>
    </w:p>
    <w:p w:rsidR="00000000" w:rsidDel="00000000" w:rsidP="00000000" w:rsidRDefault="00000000" w:rsidRPr="00000000" w14:paraId="000000B0">
      <w:pPr>
        <w:widowControl w:val="0"/>
        <w:spacing w:line="240" w:lineRule="auto"/>
        <w:ind w:left="720"/>
        <w:rPr>
          <w:rFonts w:ascii="Open Sans" w:cs="Open Sans" w:eastAsia="Open Sans" w:hAnsi="Open Sans"/>
          <w:sz w:val="21"/>
          <w:szCs w:val="21"/>
          <w:highlight w:val="white"/>
        </w:rPr>
      </w:pPr>
      <w:r w:rsidDel="00000000" w:rsidR="00000000" w:rsidRPr="00000000">
        <w:rPr>
          <w:rtl w:val="0"/>
        </w:rPr>
      </w:r>
    </w:p>
    <w:p w:rsidR="00000000" w:rsidDel="00000000" w:rsidP="00000000" w:rsidRDefault="00000000" w:rsidRPr="00000000" w14:paraId="000000B1">
      <w:pPr>
        <w:widowControl w:val="0"/>
        <w:spacing w:line="240" w:lineRule="auto"/>
        <w:ind w:left="720"/>
        <w:rPr>
          <w:rFonts w:ascii="Verdana" w:cs="Verdana" w:eastAsia="Verdana" w:hAnsi="Verdana"/>
          <w:sz w:val="17"/>
          <w:szCs w:val="17"/>
          <w:highlight w:val="white"/>
        </w:rPr>
      </w:pPr>
      <w:r w:rsidDel="00000000" w:rsidR="00000000" w:rsidRPr="00000000">
        <w:rPr>
          <w:rFonts w:ascii="Verdana" w:cs="Verdana" w:eastAsia="Verdana" w:hAnsi="Verdana"/>
          <w:sz w:val="17"/>
          <w:szCs w:val="17"/>
          <w:highlight w:val="white"/>
          <w:rtl w:val="0"/>
        </w:rPr>
        <w:t xml:space="preserve">D’Ignazio, Catherine, and Lauren F. Klein. 2020. Data Feminism. Strong Ideas</w:t>
      </w:r>
    </w:p>
    <w:p w:rsidR="00000000" w:rsidDel="00000000" w:rsidP="00000000" w:rsidRDefault="00000000" w:rsidRPr="00000000" w14:paraId="000000B2">
      <w:pPr>
        <w:widowControl w:val="0"/>
        <w:spacing w:line="240" w:lineRule="auto"/>
        <w:ind w:left="720"/>
        <w:rPr>
          <w:rFonts w:ascii="Verdana" w:cs="Verdana" w:eastAsia="Verdana" w:hAnsi="Verdana"/>
          <w:sz w:val="17"/>
          <w:szCs w:val="17"/>
          <w:highlight w:val="white"/>
        </w:rPr>
      </w:pPr>
      <w:r w:rsidDel="00000000" w:rsidR="00000000" w:rsidRPr="00000000">
        <w:rPr>
          <w:rFonts w:ascii="Verdana" w:cs="Verdana" w:eastAsia="Verdana" w:hAnsi="Verdana"/>
          <w:sz w:val="17"/>
          <w:szCs w:val="17"/>
          <w:highlight w:val="white"/>
          <w:rtl w:val="0"/>
        </w:rPr>
        <w:t xml:space="preserve">Series. Cambridge,MA: MIT Press.</w:t>
      </w:r>
    </w:p>
    <w:p w:rsidR="00000000" w:rsidDel="00000000" w:rsidP="00000000" w:rsidRDefault="00000000" w:rsidRPr="00000000" w14:paraId="000000B3">
      <w:pPr>
        <w:widowControl w:val="0"/>
        <w:spacing w:line="240" w:lineRule="auto"/>
        <w:ind w:left="720"/>
        <w:rPr>
          <w:rFonts w:ascii="Verdana" w:cs="Verdana" w:eastAsia="Verdana" w:hAnsi="Verdana"/>
          <w:sz w:val="17"/>
          <w:szCs w:val="17"/>
          <w:highlight w:val="white"/>
        </w:rPr>
      </w:pPr>
      <w:r w:rsidDel="00000000" w:rsidR="00000000" w:rsidRPr="00000000">
        <w:rPr>
          <w:rtl w:val="0"/>
        </w:rPr>
      </w:r>
    </w:p>
    <w:p w:rsidR="00000000" w:rsidDel="00000000" w:rsidP="00000000" w:rsidRDefault="00000000" w:rsidRPr="00000000" w14:paraId="000000B4">
      <w:pPr>
        <w:widowControl w:val="0"/>
        <w:spacing w:line="240" w:lineRule="auto"/>
        <w:ind w:left="720"/>
        <w:rPr>
          <w:rFonts w:ascii="Verdana" w:cs="Verdana" w:eastAsia="Verdana" w:hAnsi="Verdana"/>
          <w:sz w:val="17"/>
          <w:szCs w:val="17"/>
          <w:highlight w:val="white"/>
        </w:rPr>
      </w:pPr>
      <w:r w:rsidDel="00000000" w:rsidR="00000000" w:rsidRPr="00000000">
        <w:rPr>
          <w:rtl w:val="0"/>
        </w:rPr>
      </w:r>
    </w:p>
    <w:p w:rsidR="00000000" w:rsidDel="00000000" w:rsidP="00000000" w:rsidRDefault="00000000" w:rsidRPr="00000000" w14:paraId="000000B5">
      <w:pPr>
        <w:widowControl w:val="0"/>
        <w:spacing w:line="240" w:lineRule="auto"/>
        <w:ind w:left="720"/>
        <w:rPr>
          <w:rFonts w:ascii="Open Sans" w:cs="Open Sans" w:eastAsia="Open Sans" w:hAnsi="Open Sans"/>
          <w:sz w:val="21"/>
          <w:szCs w:val="21"/>
          <w:highlight w:val="white"/>
        </w:rPr>
      </w:pPr>
      <w:r w:rsidDel="00000000" w:rsidR="00000000" w:rsidRPr="00000000">
        <w:rPr>
          <w:rFonts w:ascii="Open Sans" w:cs="Open Sans" w:eastAsia="Open Sans" w:hAnsi="Open Sans"/>
          <w:sz w:val="21"/>
          <w:szCs w:val="21"/>
          <w:highlight w:val="white"/>
          <w:rtl w:val="0"/>
        </w:rPr>
        <w:t xml:space="preserve">Kylie Jarrett. 2014. The Relevance of "Women's Work": Social Reproduction and Immaterial Labor in Digital Media. </w:t>
      </w:r>
      <w:r w:rsidDel="00000000" w:rsidR="00000000" w:rsidRPr="00000000">
        <w:rPr>
          <w:rFonts w:ascii="Open Sans" w:cs="Open Sans" w:eastAsia="Open Sans" w:hAnsi="Open Sans"/>
          <w:i w:val="1"/>
          <w:sz w:val="21"/>
          <w:szCs w:val="21"/>
          <w:highlight w:val="white"/>
          <w:rtl w:val="0"/>
        </w:rPr>
        <w:t xml:space="preserve">Telev. New Media</w:t>
      </w:r>
      <w:r w:rsidDel="00000000" w:rsidR="00000000" w:rsidRPr="00000000">
        <w:rPr>
          <w:rFonts w:ascii="Open Sans" w:cs="Open Sans" w:eastAsia="Open Sans" w:hAnsi="Open Sans"/>
          <w:sz w:val="21"/>
          <w:szCs w:val="21"/>
          <w:highlight w:val="white"/>
          <w:rtl w:val="0"/>
        </w:rPr>
        <w:t xml:space="preserve"> 15, 1 (2014), 14--29</w:t>
      </w:r>
    </w:p>
    <w:p w:rsidR="00000000" w:rsidDel="00000000" w:rsidP="00000000" w:rsidRDefault="00000000" w:rsidRPr="00000000" w14:paraId="000000B6">
      <w:pPr>
        <w:widowControl w:val="0"/>
        <w:spacing w:line="240" w:lineRule="auto"/>
        <w:ind w:left="720"/>
        <w:rPr>
          <w:rFonts w:ascii="Open Sans" w:cs="Open Sans" w:eastAsia="Open Sans" w:hAnsi="Open Sans"/>
          <w:sz w:val="21"/>
          <w:szCs w:val="21"/>
          <w:highlight w:val="white"/>
        </w:rPr>
      </w:pPr>
      <w:r w:rsidDel="00000000" w:rsidR="00000000" w:rsidRPr="00000000">
        <w:rPr>
          <w:rtl w:val="0"/>
        </w:rPr>
      </w:r>
    </w:p>
    <w:p w:rsidR="00000000" w:rsidDel="00000000" w:rsidP="00000000" w:rsidRDefault="00000000" w:rsidRPr="00000000" w14:paraId="000000B7">
      <w:pPr>
        <w:widowControl w:val="0"/>
        <w:numPr>
          <w:ilvl w:val="0"/>
          <w:numId w:val="10"/>
        </w:numPr>
        <w:shd w:fill="ffffff" w:val="clear"/>
        <w:spacing w:after="0" w:afterAutospacing="0" w:line="240" w:lineRule="auto"/>
        <w:ind w:left="720" w:hanging="360"/>
        <w:rPr>
          <w:highlight w:val="white"/>
        </w:rPr>
      </w:pPr>
      <w:r w:rsidDel="00000000" w:rsidR="00000000" w:rsidRPr="00000000">
        <w:rPr>
          <w:sz w:val="24"/>
          <w:szCs w:val="24"/>
          <w:highlight w:val="white"/>
          <w:rtl w:val="0"/>
        </w:rPr>
        <w:t xml:space="preserve">Lothian, Alexis, and Mel Stanfill. 2021. “An Archive of Whose Own? White Feminism and Racial Justice in Fan Fiction’s Digital Infrastructure.” Transformative Works and Cultures 36, n.p. </w:t>
      </w:r>
      <w:hyperlink r:id="rId84">
        <w:r w:rsidDel="00000000" w:rsidR="00000000" w:rsidRPr="00000000">
          <w:rPr>
            <w:color w:val="0262b6"/>
            <w:sz w:val="24"/>
            <w:szCs w:val="24"/>
            <w:highlight w:val="white"/>
            <w:rtl w:val="0"/>
          </w:rPr>
          <w:t xml:space="preserve">https://doi.org/10.3983/twc.2021.2119</w:t>
        </w:r>
      </w:hyperlink>
      <w:r w:rsidDel="00000000" w:rsidR="00000000" w:rsidRPr="00000000">
        <w:rPr>
          <w:sz w:val="24"/>
          <w:szCs w:val="24"/>
          <w:highlight w:val="white"/>
          <w:rtl w:val="0"/>
        </w:rPr>
        <w:t xml:space="preserve">.</w:t>
      </w:r>
    </w:p>
    <w:p w:rsidR="00000000" w:rsidDel="00000000" w:rsidP="00000000" w:rsidRDefault="00000000" w:rsidRPr="00000000" w14:paraId="000000B8">
      <w:pPr>
        <w:widowControl w:val="0"/>
        <w:numPr>
          <w:ilvl w:val="0"/>
          <w:numId w:val="10"/>
        </w:numPr>
        <w:shd w:fill="ffffff" w:val="clear"/>
        <w:spacing w:after="0" w:afterAutospacing="0" w:line="240" w:lineRule="auto"/>
        <w:ind w:left="720" w:hanging="360"/>
        <w:rPr>
          <w:highlight w:val="white"/>
        </w:rPr>
      </w:pPr>
      <w:r w:rsidDel="00000000" w:rsidR="00000000" w:rsidRPr="00000000">
        <w:rPr>
          <w:sz w:val="24"/>
          <w:szCs w:val="24"/>
          <w:highlight w:val="white"/>
          <w:rtl w:val="0"/>
        </w:rPr>
        <w:t xml:space="preserve">Winter, Rachel,* Anastasia Salter, and Mel Stanfill. 2021. “Communities of Making: Exploring Parallels between Fandom and Open Source.” First Monday 26 (2). </w:t>
      </w:r>
      <w:hyperlink r:id="rId85">
        <w:r w:rsidDel="00000000" w:rsidR="00000000" w:rsidRPr="00000000">
          <w:rPr>
            <w:color w:val="01396a"/>
            <w:sz w:val="24"/>
            <w:szCs w:val="24"/>
            <w:highlight w:val="white"/>
            <w:u w:val="single"/>
            <w:rtl w:val="0"/>
          </w:rPr>
          <w:t xml:space="preserve">https://firstmonday.org/ojs/index.php/fm/article/view/10870</w:t>
        </w:r>
      </w:hyperlink>
      <w:r w:rsidDel="00000000" w:rsidR="00000000" w:rsidRPr="00000000">
        <w:rPr>
          <w:sz w:val="24"/>
          <w:szCs w:val="24"/>
          <w:highlight w:val="white"/>
          <w:rtl w:val="0"/>
        </w:rPr>
        <w:t xml:space="preserve">.</w:t>
      </w:r>
    </w:p>
    <w:p w:rsidR="00000000" w:rsidDel="00000000" w:rsidP="00000000" w:rsidRDefault="00000000" w:rsidRPr="00000000" w14:paraId="000000B9">
      <w:pPr>
        <w:widowControl w:val="0"/>
        <w:numPr>
          <w:ilvl w:val="0"/>
          <w:numId w:val="10"/>
        </w:numPr>
        <w:shd w:fill="ffffff" w:val="clear"/>
        <w:spacing w:after="0" w:afterAutospacing="0" w:line="240" w:lineRule="auto"/>
        <w:ind w:left="720" w:hanging="360"/>
      </w:pPr>
      <w:r w:rsidDel="00000000" w:rsidR="00000000" w:rsidRPr="00000000">
        <w:rPr>
          <w:sz w:val="24"/>
          <w:szCs w:val="24"/>
          <w:highlight w:val="white"/>
          <w:rtl w:val="0"/>
        </w:rPr>
        <w:t xml:space="preserve">Stanfill, Mel. 2019. “Fans of Color in Femslash.” Transformative Works and Cultures 29. </w:t>
      </w:r>
      <w:hyperlink r:id="rId86">
        <w:r w:rsidDel="00000000" w:rsidR="00000000" w:rsidRPr="00000000">
          <w:rPr>
            <w:color w:val="0262b6"/>
            <w:sz w:val="24"/>
            <w:szCs w:val="24"/>
            <w:highlight w:val="white"/>
            <w:rtl w:val="0"/>
          </w:rPr>
          <w:t xml:space="preserve">https://doi.org/10.3983/twc.2019.1528</w:t>
        </w:r>
      </w:hyperlink>
      <w:r w:rsidDel="00000000" w:rsidR="00000000" w:rsidRPr="00000000">
        <w:rPr>
          <w:sz w:val="24"/>
          <w:szCs w:val="24"/>
          <w:highlight w:val="white"/>
          <w:rtl w:val="0"/>
        </w:rPr>
        <w:t xml:space="preserve">.</w:t>
      </w:r>
    </w:p>
    <w:p w:rsidR="00000000" w:rsidDel="00000000" w:rsidP="00000000" w:rsidRDefault="00000000" w:rsidRPr="00000000" w14:paraId="000000BA">
      <w:pPr>
        <w:widowControl w:val="0"/>
        <w:numPr>
          <w:ilvl w:val="0"/>
          <w:numId w:val="10"/>
        </w:numPr>
        <w:shd w:fill="ffffff" w:val="clear"/>
        <w:spacing w:after="0" w:afterAutospacing="0" w:line="240" w:lineRule="auto"/>
        <w:ind w:left="720" w:hanging="360"/>
      </w:pPr>
      <w:r w:rsidDel="00000000" w:rsidR="00000000" w:rsidRPr="00000000">
        <w:rPr>
          <w:sz w:val="24"/>
          <w:szCs w:val="24"/>
          <w:highlight w:val="white"/>
          <w:rtl w:val="0"/>
        </w:rPr>
        <w:t xml:space="preserve">Navar-Gill, Annemarie and Mel Stanfill. 2018. “We shouldn't have to trend to make you listen”: Queer fan hashtag campaigns as production interventions.” Journal of Film and Video. 70 (3-4).</w:t>
      </w:r>
    </w:p>
    <w:p w:rsidR="00000000" w:rsidDel="00000000" w:rsidP="00000000" w:rsidRDefault="00000000" w:rsidRPr="00000000" w14:paraId="000000BB">
      <w:pPr>
        <w:widowControl w:val="0"/>
        <w:numPr>
          <w:ilvl w:val="0"/>
          <w:numId w:val="10"/>
        </w:numPr>
        <w:shd w:fill="ffffff" w:val="clear"/>
        <w:spacing w:after="0" w:afterAutospacing="0" w:line="240" w:lineRule="auto"/>
        <w:ind w:left="720" w:hanging="360"/>
      </w:pPr>
      <w:r w:rsidDel="00000000" w:rsidR="00000000" w:rsidRPr="00000000">
        <w:rPr>
          <w:sz w:val="24"/>
          <w:szCs w:val="24"/>
          <w:highlight w:val="white"/>
          <w:rtl w:val="0"/>
        </w:rPr>
        <w:t xml:space="preserve">Stanfill, Mel and Anastasia Salter. 2022. “Avatar Bodies That Matter: The Work of 'Realism' in Gendered Representation.” EA Sports FIFA: Feeling the Game, edited by Raiford Guins, Henry Lowood, and Carlin Wing. New York:  Bloomsbury Press.</w:t>
        <w:br w:type="textWrapping"/>
      </w:r>
    </w:p>
    <w:p w:rsidR="00000000" w:rsidDel="00000000" w:rsidP="00000000" w:rsidRDefault="00000000" w:rsidRPr="00000000" w14:paraId="000000BC">
      <w:pPr>
        <w:widowControl w:val="0"/>
        <w:numPr>
          <w:ilvl w:val="0"/>
          <w:numId w:val="10"/>
        </w:numPr>
        <w:shd w:fill="ffffff" w:val="clear"/>
        <w:spacing w:after="0" w:afterAutospacing="0" w:line="240" w:lineRule="auto"/>
        <w:ind w:left="720" w:hanging="360"/>
      </w:pPr>
      <w:r w:rsidDel="00000000" w:rsidR="00000000" w:rsidRPr="00000000">
        <w:rPr>
          <w:sz w:val="24"/>
          <w:szCs w:val="24"/>
          <w:highlight w:val="white"/>
          <w:rtl w:val="0"/>
        </w:rPr>
        <w:t xml:space="preserve">Stanfill, Mel. 2020. “Straight (White) Women Writing about Men Bonking? Complicating our Understanding of Gender and Sexuality in Fandom.” The Routledge Handbook of Gender and Communication, edited by Marnel Niles Goins, Joan Faber McAlister, and Bryant Keith Alexander, 446-458. New York: Routledge.</w:t>
      </w:r>
    </w:p>
    <w:p w:rsidR="00000000" w:rsidDel="00000000" w:rsidP="00000000" w:rsidRDefault="00000000" w:rsidRPr="00000000" w14:paraId="000000BD">
      <w:pPr>
        <w:widowControl w:val="0"/>
        <w:numPr>
          <w:ilvl w:val="0"/>
          <w:numId w:val="10"/>
        </w:numPr>
        <w:shd w:fill="ffffff" w:val="clear"/>
        <w:spacing w:after="0" w:afterAutospacing="0" w:line="240" w:lineRule="auto"/>
        <w:ind w:left="720" w:hanging="360"/>
      </w:pPr>
      <w:r w:rsidDel="00000000" w:rsidR="00000000" w:rsidRPr="00000000">
        <w:rPr>
          <w:sz w:val="24"/>
          <w:szCs w:val="24"/>
          <w:highlight w:val="white"/>
          <w:rtl w:val="0"/>
        </w:rPr>
        <w:t xml:space="preserve">Salter, A. (2020) "Plundered Hearts: Infocom, Romance, and the History of Feminist Game Design." </w:t>
      </w:r>
      <w:r w:rsidDel="00000000" w:rsidR="00000000" w:rsidRPr="00000000">
        <w:rPr>
          <w:i w:val="1"/>
          <w:sz w:val="24"/>
          <w:szCs w:val="24"/>
          <w:highlight w:val="white"/>
          <w:rtl w:val="0"/>
        </w:rPr>
        <w:t xml:space="preserve">Feminist Media Histories</w:t>
      </w:r>
      <w:r w:rsidDel="00000000" w:rsidR="00000000" w:rsidRPr="00000000">
        <w:rPr>
          <w:sz w:val="24"/>
          <w:szCs w:val="24"/>
          <w:highlight w:val="white"/>
          <w:rtl w:val="0"/>
        </w:rPr>
        <w:t xml:space="preserve">, Vol 6:1, Winter 2020: 66-92. &lt;</w:t>
      </w:r>
      <w:hyperlink r:id="rId87">
        <w:r w:rsidDel="00000000" w:rsidR="00000000" w:rsidRPr="00000000">
          <w:rPr>
            <w:color w:val="0262b6"/>
            <w:sz w:val="24"/>
            <w:szCs w:val="24"/>
            <w:highlight w:val="white"/>
            <w:rtl w:val="0"/>
          </w:rPr>
          <w:t xml:space="preserve">https://fmh.ucpress.edu/content/6/1/66&gt;</w:t>
        </w:r>
      </w:hyperlink>
      <w:r w:rsidDel="00000000" w:rsidR="00000000" w:rsidRPr="00000000">
        <w:rPr>
          <w:sz w:val="24"/>
          <w:szCs w:val="24"/>
          <w:highlight w:val="white"/>
          <w:rtl w:val="0"/>
        </w:rPr>
        <w:t xml:space="preserve">.</w:t>
      </w:r>
    </w:p>
    <w:p w:rsidR="00000000" w:rsidDel="00000000" w:rsidP="00000000" w:rsidRDefault="00000000" w:rsidRPr="00000000" w14:paraId="000000BE">
      <w:pPr>
        <w:widowControl w:val="0"/>
        <w:numPr>
          <w:ilvl w:val="0"/>
          <w:numId w:val="10"/>
        </w:numPr>
        <w:shd w:fill="ffffff" w:val="clear"/>
        <w:spacing w:after="0" w:afterAutospacing="0" w:line="240" w:lineRule="auto"/>
        <w:ind w:left="720" w:hanging="360"/>
      </w:pPr>
      <w:r w:rsidDel="00000000" w:rsidR="00000000" w:rsidRPr="00000000">
        <w:rPr>
          <w:sz w:val="24"/>
          <w:szCs w:val="24"/>
          <w:highlight w:val="white"/>
          <w:rtl w:val="0"/>
        </w:rPr>
        <w:t xml:space="preserve">Blodgett, Bridget and Anastasia Salter. “’Get your hero on, dude!’ Charting Jake’s Growth as a Positive Masculine Role Model.” </w:t>
      </w:r>
      <w:r w:rsidDel="00000000" w:rsidR="00000000" w:rsidRPr="00000000">
        <w:rPr>
          <w:i w:val="1"/>
          <w:sz w:val="24"/>
          <w:szCs w:val="24"/>
          <w:highlight w:val="white"/>
          <w:rtl w:val="0"/>
        </w:rPr>
        <w:t xml:space="preserve">Analyzing Adventure Time, </w:t>
      </w:r>
      <w:r w:rsidDel="00000000" w:rsidR="00000000" w:rsidRPr="00000000">
        <w:rPr>
          <w:sz w:val="24"/>
          <w:szCs w:val="24"/>
          <w:highlight w:val="white"/>
          <w:rtl w:val="0"/>
        </w:rPr>
        <w:t xml:space="preserve">edited by Paul A. Thomas. McFarland Press, 71-83.</w:t>
      </w:r>
    </w:p>
    <w:p w:rsidR="00000000" w:rsidDel="00000000" w:rsidP="00000000" w:rsidRDefault="00000000" w:rsidRPr="00000000" w14:paraId="000000BF">
      <w:pPr>
        <w:widowControl w:val="0"/>
        <w:numPr>
          <w:ilvl w:val="0"/>
          <w:numId w:val="10"/>
        </w:numPr>
        <w:shd w:fill="ffffff" w:val="clear"/>
        <w:spacing w:after="0" w:afterAutospacing="0" w:line="240" w:lineRule="auto"/>
        <w:ind w:left="720" w:hanging="360"/>
      </w:pPr>
      <w:r w:rsidDel="00000000" w:rsidR="00000000" w:rsidRPr="00000000">
        <w:rPr>
          <w:sz w:val="24"/>
          <w:szCs w:val="24"/>
          <w:highlight w:val="white"/>
          <w:rtl w:val="0"/>
        </w:rPr>
        <w:t xml:space="preserve">Salter, A. (2020). "Gendered Authorship in War Gaming: Whose Fantasy is it Anyways?" </w:t>
      </w:r>
      <w:r w:rsidDel="00000000" w:rsidR="00000000" w:rsidRPr="00000000">
        <w:rPr>
          <w:i w:val="1"/>
          <w:sz w:val="24"/>
          <w:szCs w:val="24"/>
          <w:highlight w:val="white"/>
          <w:rtl w:val="0"/>
        </w:rPr>
        <w:t xml:space="preserve">Feminist War Games?: Mechanisms of War, Feminist Values, and Interventional Games</w:t>
      </w:r>
      <w:r w:rsidDel="00000000" w:rsidR="00000000" w:rsidRPr="00000000">
        <w:rPr>
          <w:sz w:val="24"/>
          <w:szCs w:val="24"/>
          <w:highlight w:val="white"/>
          <w:rtl w:val="0"/>
        </w:rPr>
        <w:t xml:space="preserve">. Edited by Saklofske, J., Arbuckle, A., &amp; Bath, J. (Eds.). Routledge.</w:t>
      </w:r>
    </w:p>
    <w:p w:rsidR="00000000" w:rsidDel="00000000" w:rsidP="00000000" w:rsidRDefault="00000000" w:rsidRPr="00000000" w14:paraId="000000C0">
      <w:pPr>
        <w:widowControl w:val="0"/>
        <w:numPr>
          <w:ilvl w:val="0"/>
          <w:numId w:val="10"/>
        </w:numPr>
        <w:shd w:fill="ffffff" w:val="clear"/>
        <w:spacing w:after="0" w:afterAutospacing="0" w:line="240" w:lineRule="auto"/>
        <w:ind w:left="720" w:hanging="360"/>
      </w:pPr>
      <w:r w:rsidDel="00000000" w:rsidR="00000000" w:rsidRPr="00000000">
        <w:rPr>
          <w:sz w:val="24"/>
          <w:szCs w:val="24"/>
          <w:highlight w:val="white"/>
          <w:rtl w:val="0"/>
        </w:rPr>
        <w:t xml:space="preserve">Blodgett, B.; Salter, A. (2019). “What Was Missing: Children’s Queerbaiting and Homoromantic Exclusion in Adventure Time and Steven Universe.” </w:t>
      </w:r>
      <w:r w:rsidDel="00000000" w:rsidR="00000000" w:rsidRPr="00000000">
        <w:rPr>
          <w:i w:val="1"/>
          <w:sz w:val="24"/>
          <w:szCs w:val="24"/>
          <w:highlight w:val="white"/>
          <w:rtl w:val="0"/>
        </w:rPr>
        <w:t xml:space="preserve">Queerbaiting and Fandom: Teasing Fandom Fans Through Homoerotic Possibilities. </w:t>
      </w:r>
      <w:r w:rsidDel="00000000" w:rsidR="00000000" w:rsidRPr="00000000">
        <w:rPr>
          <w:sz w:val="24"/>
          <w:szCs w:val="24"/>
          <w:highlight w:val="white"/>
          <w:rtl w:val="0"/>
        </w:rPr>
        <w:t xml:space="preserve">Edited by Joseph Brennan. The University of Iowa Press.</w:t>
      </w:r>
    </w:p>
    <w:p w:rsidR="00000000" w:rsidDel="00000000" w:rsidP="00000000" w:rsidRDefault="00000000" w:rsidRPr="00000000" w14:paraId="000000C1">
      <w:pPr>
        <w:widowControl w:val="0"/>
        <w:numPr>
          <w:ilvl w:val="0"/>
          <w:numId w:val="10"/>
        </w:numPr>
        <w:shd w:fill="ffffff" w:val="clear"/>
        <w:spacing w:after="240" w:line="240" w:lineRule="auto"/>
        <w:ind w:left="720" w:hanging="360"/>
      </w:pPr>
      <w:r w:rsidDel="00000000" w:rsidR="00000000" w:rsidRPr="00000000">
        <w:rPr>
          <w:i w:val="1"/>
          <w:sz w:val="24"/>
          <w:szCs w:val="24"/>
          <w:highlight w:val="white"/>
          <w:rtl w:val="0"/>
        </w:rPr>
        <w:t xml:space="preserve">Forthcoming</w:t>
      </w:r>
      <w:r w:rsidDel="00000000" w:rsidR="00000000" w:rsidRPr="00000000">
        <w:rPr>
          <w:sz w:val="24"/>
          <w:szCs w:val="24"/>
          <w:highlight w:val="white"/>
          <w:rtl w:val="0"/>
        </w:rPr>
        <w:t xml:space="preserve"> Salter, A. and Blodgett B. (2019). “Playing the Humanities: Feminist Game Studies and Public Discourse.” </w:t>
      </w:r>
      <w:r w:rsidDel="00000000" w:rsidR="00000000" w:rsidRPr="00000000">
        <w:rPr>
          <w:i w:val="1"/>
          <w:sz w:val="24"/>
          <w:szCs w:val="24"/>
          <w:highlight w:val="white"/>
          <w:rtl w:val="0"/>
        </w:rPr>
        <w:t xml:space="preserve">Bodies of Information: Intersectional Feminism and Digital Humanities. </w:t>
      </w:r>
      <w:r w:rsidDel="00000000" w:rsidR="00000000" w:rsidRPr="00000000">
        <w:rPr>
          <w:sz w:val="24"/>
          <w:szCs w:val="24"/>
          <w:highlight w:val="white"/>
          <w:rtl w:val="0"/>
        </w:rPr>
        <w:t xml:space="preserve">Edited by Elizabeth Losh and Jacqueline Wernimont. University of Minnesota Press. </w:t>
      </w:r>
    </w:p>
    <w:p w:rsidR="00000000" w:rsidDel="00000000" w:rsidP="00000000" w:rsidRDefault="00000000" w:rsidRPr="00000000" w14:paraId="000000C2">
      <w:pPr>
        <w:widowControl w:val="0"/>
        <w:spacing w:line="240" w:lineRule="auto"/>
        <w:ind w:left="720"/>
        <w:rPr>
          <w:rFonts w:ascii="Open Sans" w:cs="Open Sans" w:eastAsia="Open Sans" w:hAnsi="Open Sans"/>
          <w:sz w:val="21"/>
          <w:szCs w:val="21"/>
          <w:highlight w:val="white"/>
        </w:rPr>
      </w:pPr>
      <w:r w:rsidDel="00000000" w:rsidR="00000000" w:rsidRPr="00000000">
        <w:rPr>
          <w:rtl w:val="0"/>
        </w:rPr>
      </w:r>
    </w:p>
    <w:p w:rsidR="00000000" w:rsidDel="00000000" w:rsidP="00000000" w:rsidRDefault="00000000" w:rsidRPr="00000000" w14:paraId="000000C3">
      <w:pPr>
        <w:widowControl w:val="0"/>
        <w:spacing w:line="480" w:lineRule="auto"/>
        <w:ind w:left="720"/>
        <w:rPr>
          <w:rFonts w:ascii="Verdana" w:cs="Verdana" w:eastAsia="Verdana" w:hAnsi="Verdana"/>
          <w:sz w:val="17"/>
          <w:szCs w:val="17"/>
          <w:highlight w:val="whit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Verdana" w:cs="Verdana" w:eastAsia="Verdana" w:hAnsi="Verdana"/>
          <w:sz w:val="17"/>
          <w:szCs w:val="17"/>
          <w:highlight w:val="white"/>
        </w:rPr>
      </w:pPr>
      <w:r w:rsidDel="00000000" w:rsidR="00000000" w:rsidRPr="00000000">
        <w:rPr>
          <w:rtl w:val="0"/>
        </w:rPr>
      </w:r>
    </w:p>
    <w:sectPr>
      <w:headerReference r:id="rId88" w:type="default"/>
      <w:footerReference r:id="rId8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Calibri"/>
  <w:font w:name="Verdana"/>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C9">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Vee Kennedy</w:t>
    </w:r>
  </w:p>
  <w:p w:rsidR="00000000" w:rsidDel="00000000" w:rsidP="00000000" w:rsidRDefault="00000000" w:rsidRPr="00000000" w14:paraId="000000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WST 5601</w:t>
    </w:r>
  </w:p>
  <w:p w:rsidR="00000000" w:rsidDel="00000000" w:rsidP="00000000" w:rsidRDefault="00000000" w:rsidRPr="00000000" w14:paraId="000000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Preston </w:t>
    </w:r>
  </w:p>
  <w:p w:rsidR="00000000" w:rsidDel="00000000" w:rsidP="00000000" w:rsidRDefault="00000000" w:rsidRPr="00000000" w14:paraId="000000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3/17/24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4"/>
      <w:numFmt w:val="decimal"/>
      <w:lvlText w:val="%1."/>
      <w:lvlJc w:val="left"/>
      <w:pPr>
        <w:ind w:left="720" w:hanging="360"/>
      </w:pPr>
      <w:rPr>
        <w:rFonts w:ascii="Arial" w:cs="Arial" w:eastAsia="Arial" w:hAnsi="Arial"/>
        <w:color w:val="2d3b4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2d3b4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2d3b45"/>
        <w:sz w:val="24"/>
        <w:szCs w:val="24"/>
        <w:u w:val="none"/>
      </w:rPr>
    </w:lvl>
    <w:lvl w:ilvl="1">
      <w:start w:val="1"/>
      <w:numFmt w:val="bullet"/>
      <w:lvlText w:val="○"/>
      <w:lvlJc w:val="left"/>
      <w:pPr>
        <w:ind w:left="1440" w:hanging="360"/>
      </w:pPr>
      <w:rPr>
        <w:rFonts w:ascii="Arial" w:cs="Arial" w:eastAsia="Arial" w:hAnsi="Arial"/>
        <w:color w:val="2d3b4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2d3b45"/>
        <w:sz w:val="24"/>
        <w:szCs w:val="24"/>
        <w:u w:val="none"/>
      </w:rPr>
    </w:lvl>
    <w:lvl w:ilvl="1">
      <w:start w:val="1"/>
      <w:numFmt w:val="bullet"/>
      <w:lvlText w:val="○"/>
      <w:lvlJc w:val="left"/>
      <w:pPr>
        <w:ind w:left="1440" w:hanging="360"/>
      </w:pPr>
      <w:rPr>
        <w:rFonts w:ascii="Arial" w:cs="Arial" w:eastAsia="Arial" w:hAnsi="Arial"/>
        <w:color w:val="2d3b4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color w:val="2d3b4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rFonts w:ascii="Arial" w:cs="Arial" w:eastAsia="Arial" w:hAnsi="Arial"/>
        <w:color w:val="2d3b4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www.zotero.org/google-docs/?3h4osd" TargetMode="External"/><Relationship Id="rId84" Type="http://schemas.openxmlformats.org/officeDocument/2006/relationships/hyperlink" Target="https://doi.org/10.3983/twc.2021.2119" TargetMode="External"/><Relationship Id="rId83" Type="http://schemas.openxmlformats.org/officeDocument/2006/relationships/hyperlink" Target="http://gamestudies.org/1402/articles/maccallumstewart" TargetMode="External"/><Relationship Id="rId42" Type="http://schemas.openxmlformats.org/officeDocument/2006/relationships/hyperlink" Target="https://www.zotero.org/google-docs/?3h4osd" TargetMode="External"/><Relationship Id="rId86" Type="http://schemas.openxmlformats.org/officeDocument/2006/relationships/hyperlink" Target="https://doi.org/10.3983/twc.2019.1528" TargetMode="External"/><Relationship Id="rId41" Type="http://schemas.openxmlformats.org/officeDocument/2006/relationships/hyperlink" Target="https://www.zotero.org/google-docs/?3h4osd" TargetMode="External"/><Relationship Id="rId85" Type="http://schemas.openxmlformats.org/officeDocument/2006/relationships/hyperlink" Target="https://firstmonday.org/ojs/index.php/fm/article/view/10870" TargetMode="External"/><Relationship Id="rId44" Type="http://schemas.openxmlformats.org/officeDocument/2006/relationships/hyperlink" Target="https://www.zotero.org/google-docs/?3h4osd" TargetMode="External"/><Relationship Id="rId88" Type="http://schemas.openxmlformats.org/officeDocument/2006/relationships/header" Target="header1.xml"/><Relationship Id="rId43" Type="http://schemas.openxmlformats.org/officeDocument/2006/relationships/hyperlink" Target="https://www.zotero.org/google-docs/?3h4osd" TargetMode="External"/><Relationship Id="rId87" Type="http://schemas.openxmlformats.org/officeDocument/2006/relationships/hyperlink" Target="https://fmh.ucpress.edu/content/6/1/66" TargetMode="External"/><Relationship Id="rId46" Type="http://schemas.openxmlformats.org/officeDocument/2006/relationships/hyperlink" Target="https://www.zotero.org/google-docs/?3h4osd" TargetMode="External"/><Relationship Id="rId45" Type="http://schemas.openxmlformats.org/officeDocument/2006/relationships/hyperlink" Target="https://www.zotero.org/google-docs/?3h4osd" TargetMode="External"/><Relationship Id="rId89" Type="http://schemas.openxmlformats.org/officeDocument/2006/relationships/footer" Target="footer1.xml"/><Relationship Id="rId80" Type="http://schemas.openxmlformats.org/officeDocument/2006/relationships/hyperlink" Target="https://gamestudies.org/2003/articles/engelbrecht" TargetMode="External"/><Relationship Id="rId82" Type="http://schemas.openxmlformats.org/officeDocument/2006/relationships/hyperlink" Target="http://gamestudies.org/0202/kennedy/" TargetMode="External"/><Relationship Id="rId81" Type="http://schemas.openxmlformats.org/officeDocument/2006/relationships/hyperlink" Target="https://gamestudies.org/1803/articles/ston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zotero.org/google-docs/?yxP7jK" TargetMode="External"/><Relationship Id="rId48" Type="http://schemas.openxmlformats.org/officeDocument/2006/relationships/hyperlink" Target="https://www.zotero.org/google-docs/?3h4osd" TargetMode="External"/><Relationship Id="rId47" Type="http://schemas.openxmlformats.org/officeDocument/2006/relationships/hyperlink" Target="https://www.zotero.org/google-docs/?3h4osd" TargetMode="External"/><Relationship Id="rId49" Type="http://schemas.openxmlformats.org/officeDocument/2006/relationships/hyperlink" Target="https://www.zotero.org/google-docs/?3h4osd" TargetMode="External"/><Relationship Id="rId5" Type="http://schemas.openxmlformats.org/officeDocument/2006/relationships/styles" Target="styles.xml"/><Relationship Id="rId6" Type="http://schemas.openxmlformats.org/officeDocument/2006/relationships/hyperlink" Target="https://www.zotero.org/google-docs/?1SQSEM" TargetMode="External"/><Relationship Id="rId7" Type="http://schemas.openxmlformats.org/officeDocument/2006/relationships/hyperlink" Target="https://www.zotero.org/google-docs/?1SQSEM" TargetMode="External"/><Relationship Id="rId8" Type="http://schemas.openxmlformats.org/officeDocument/2006/relationships/hyperlink" Target="https://www.zotero.org/google-docs/?1SQSEM" TargetMode="External"/><Relationship Id="rId73" Type="http://schemas.openxmlformats.org/officeDocument/2006/relationships/hyperlink" Target="https://www.zotero.org/google-docs/?3h4osd" TargetMode="External"/><Relationship Id="rId72" Type="http://schemas.openxmlformats.org/officeDocument/2006/relationships/hyperlink" Target="https://www.zotero.org/google-docs/?3h4osd" TargetMode="External"/><Relationship Id="rId31" Type="http://schemas.openxmlformats.org/officeDocument/2006/relationships/hyperlink" Target="https://www.zotero.org/google-docs/?3h4osd" TargetMode="External"/><Relationship Id="rId75" Type="http://schemas.openxmlformats.org/officeDocument/2006/relationships/hyperlink" Target="https://www.zotero.org/google-docs/?3h4osd" TargetMode="External"/><Relationship Id="rId30" Type="http://schemas.openxmlformats.org/officeDocument/2006/relationships/hyperlink" Target="https://www.zotero.org/google-docs/?3h4osd" TargetMode="External"/><Relationship Id="rId74" Type="http://schemas.openxmlformats.org/officeDocument/2006/relationships/hyperlink" Target="https://www.zotero.org/google-docs/?3h4osd" TargetMode="External"/><Relationship Id="rId33" Type="http://schemas.openxmlformats.org/officeDocument/2006/relationships/hyperlink" Target="https://www.zotero.org/google-docs/?3h4osd" TargetMode="External"/><Relationship Id="rId77" Type="http://schemas.openxmlformats.org/officeDocument/2006/relationships/hyperlink" Target="https://www.zotero.org/google-docs/?3h4osd" TargetMode="External"/><Relationship Id="rId32" Type="http://schemas.openxmlformats.org/officeDocument/2006/relationships/hyperlink" Target="https://www.zotero.org/google-docs/?3h4osd" TargetMode="External"/><Relationship Id="rId76" Type="http://schemas.openxmlformats.org/officeDocument/2006/relationships/hyperlink" Target="https://www.zotero.org/google-docs/?3h4osd" TargetMode="External"/><Relationship Id="rId35" Type="http://schemas.openxmlformats.org/officeDocument/2006/relationships/hyperlink" Target="https://www.zotero.org/google-docs/?3h4osd" TargetMode="External"/><Relationship Id="rId79" Type="http://schemas.openxmlformats.org/officeDocument/2006/relationships/hyperlink" Target="https://www.zotero.org/google-docs/?3h4osd" TargetMode="External"/><Relationship Id="rId34" Type="http://schemas.openxmlformats.org/officeDocument/2006/relationships/hyperlink" Target="https://www.zotero.org/google-docs/?3h4osd" TargetMode="External"/><Relationship Id="rId78" Type="http://schemas.openxmlformats.org/officeDocument/2006/relationships/hyperlink" Target="https://www.zotero.org/google-docs/?3h4osd" TargetMode="External"/><Relationship Id="rId71" Type="http://schemas.openxmlformats.org/officeDocument/2006/relationships/hyperlink" Target="https://www.zotero.org/google-docs/?3h4osd" TargetMode="External"/><Relationship Id="rId70" Type="http://schemas.openxmlformats.org/officeDocument/2006/relationships/hyperlink" Target="https://www.zotero.org/google-docs/?3h4osd" TargetMode="External"/><Relationship Id="rId37" Type="http://schemas.openxmlformats.org/officeDocument/2006/relationships/hyperlink" Target="https://www.zotero.org/google-docs/?3h4osd" TargetMode="External"/><Relationship Id="rId36" Type="http://schemas.openxmlformats.org/officeDocument/2006/relationships/hyperlink" Target="https://www.zotero.org/google-docs/?3h4osd" TargetMode="External"/><Relationship Id="rId39" Type="http://schemas.openxmlformats.org/officeDocument/2006/relationships/hyperlink" Target="https://www.zotero.org/google-docs/?3h4osd" TargetMode="External"/><Relationship Id="rId38" Type="http://schemas.openxmlformats.org/officeDocument/2006/relationships/hyperlink" Target="https://www.zotero.org/google-docs/?3h4osd" TargetMode="External"/><Relationship Id="rId62" Type="http://schemas.openxmlformats.org/officeDocument/2006/relationships/hyperlink" Target="https://www.zotero.org/google-docs/?3h4osd" TargetMode="External"/><Relationship Id="rId61" Type="http://schemas.openxmlformats.org/officeDocument/2006/relationships/hyperlink" Target="https://www.zotero.org/google-docs/?3h4osd" TargetMode="External"/><Relationship Id="rId20" Type="http://schemas.openxmlformats.org/officeDocument/2006/relationships/hyperlink" Target="https://www.zotero.org/google-docs/?UEgnOo" TargetMode="External"/><Relationship Id="rId64" Type="http://schemas.openxmlformats.org/officeDocument/2006/relationships/hyperlink" Target="https://www.zotero.org/google-docs/?3h4osd" TargetMode="External"/><Relationship Id="rId63" Type="http://schemas.openxmlformats.org/officeDocument/2006/relationships/hyperlink" Target="https://www.zotero.org/google-docs/?3h4osd" TargetMode="External"/><Relationship Id="rId22" Type="http://schemas.openxmlformats.org/officeDocument/2006/relationships/hyperlink" Target="https://www.zotero.org/google-docs/?UEgnOo" TargetMode="External"/><Relationship Id="rId66" Type="http://schemas.openxmlformats.org/officeDocument/2006/relationships/hyperlink" Target="https://www.zotero.org/google-docs/?3h4osd" TargetMode="External"/><Relationship Id="rId21" Type="http://schemas.openxmlformats.org/officeDocument/2006/relationships/hyperlink" Target="https://www.zotero.org/google-docs/?UEgnOo" TargetMode="External"/><Relationship Id="rId65" Type="http://schemas.openxmlformats.org/officeDocument/2006/relationships/hyperlink" Target="https://www.zotero.org/google-docs/?3h4osd" TargetMode="External"/><Relationship Id="rId24" Type="http://schemas.openxmlformats.org/officeDocument/2006/relationships/hyperlink" Target="https://www.zotero.org/google-docs/?3h4osd" TargetMode="External"/><Relationship Id="rId68" Type="http://schemas.openxmlformats.org/officeDocument/2006/relationships/hyperlink" Target="https://www.zotero.org/google-docs/?3h4osd" TargetMode="External"/><Relationship Id="rId23" Type="http://schemas.openxmlformats.org/officeDocument/2006/relationships/hyperlink" Target="https://www.zotero.org/google-docs/?UEgnOo" TargetMode="External"/><Relationship Id="rId67" Type="http://schemas.openxmlformats.org/officeDocument/2006/relationships/hyperlink" Target="https://www.zotero.org/google-docs/?3h4osd" TargetMode="External"/><Relationship Id="rId60" Type="http://schemas.openxmlformats.org/officeDocument/2006/relationships/hyperlink" Target="https://www.zotero.org/google-docs/?3h4osd" TargetMode="External"/><Relationship Id="rId26" Type="http://schemas.openxmlformats.org/officeDocument/2006/relationships/hyperlink" Target="https://www.zotero.org/google-docs/?3h4osd" TargetMode="External"/><Relationship Id="rId25" Type="http://schemas.openxmlformats.org/officeDocument/2006/relationships/hyperlink" Target="https://www.zotero.org/google-docs/?3h4osd" TargetMode="External"/><Relationship Id="rId69" Type="http://schemas.openxmlformats.org/officeDocument/2006/relationships/hyperlink" Target="https://www.zotero.org/google-docs/?3h4osd" TargetMode="External"/><Relationship Id="rId28" Type="http://schemas.openxmlformats.org/officeDocument/2006/relationships/hyperlink" Target="https://www.zotero.org/google-docs/?3h4osd" TargetMode="External"/><Relationship Id="rId27" Type="http://schemas.openxmlformats.org/officeDocument/2006/relationships/hyperlink" Target="https://www.zotero.org/google-docs/?3h4osd" TargetMode="External"/><Relationship Id="rId29" Type="http://schemas.openxmlformats.org/officeDocument/2006/relationships/hyperlink" Target="https://www.zotero.org/google-docs/?3h4osd" TargetMode="External"/><Relationship Id="rId51" Type="http://schemas.openxmlformats.org/officeDocument/2006/relationships/hyperlink" Target="https://www.zotero.org/google-docs/?3h4osd" TargetMode="External"/><Relationship Id="rId50" Type="http://schemas.openxmlformats.org/officeDocument/2006/relationships/hyperlink" Target="https://www.zotero.org/google-docs/?3h4osd" TargetMode="External"/><Relationship Id="rId53" Type="http://schemas.openxmlformats.org/officeDocument/2006/relationships/hyperlink" Target="https://www.zotero.org/google-docs/?3h4osd" TargetMode="External"/><Relationship Id="rId52" Type="http://schemas.openxmlformats.org/officeDocument/2006/relationships/hyperlink" Target="https://www.zotero.org/google-docs/?3h4osd" TargetMode="External"/><Relationship Id="rId11" Type="http://schemas.openxmlformats.org/officeDocument/2006/relationships/hyperlink" Target="https://www.zotero.org/google-docs/?yxP7jK" TargetMode="External"/><Relationship Id="rId55" Type="http://schemas.openxmlformats.org/officeDocument/2006/relationships/hyperlink" Target="https://www.zotero.org/google-docs/?3h4osd" TargetMode="External"/><Relationship Id="rId10" Type="http://schemas.openxmlformats.org/officeDocument/2006/relationships/hyperlink" Target="https://www.zotero.org/google-docs/?yxP7jK" TargetMode="External"/><Relationship Id="rId54" Type="http://schemas.openxmlformats.org/officeDocument/2006/relationships/hyperlink" Target="https://www.zotero.org/google-docs/?3h4osd" TargetMode="External"/><Relationship Id="rId13" Type="http://schemas.openxmlformats.org/officeDocument/2006/relationships/hyperlink" Target="https://www.zotero.org/google-docs/?broken=SxJt9M" TargetMode="External"/><Relationship Id="rId57" Type="http://schemas.openxmlformats.org/officeDocument/2006/relationships/hyperlink" Target="https://www.zotero.org/google-docs/?3h4osd" TargetMode="External"/><Relationship Id="rId12" Type="http://schemas.openxmlformats.org/officeDocument/2006/relationships/hyperlink" Target="https://www.zotero.org/google-docs/?6ypQSq" TargetMode="External"/><Relationship Id="rId56" Type="http://schemas.openxmlformats.org/officeDocument/2006/relationships/hyperlink" Target="https://www.zotero.org/google-docs/?3h4osd" TargetMode="External"/><Relationship Id="rId15" Type="http://schemas.openxmlformats.org/officeDocument/2006/relationships/hyperlink" Target="https://www.zotero.org/google-docs/?broken=SxJt9M" TargetMode="External"/><Relationship Id="rId59" Type="http://schemas.openxmlformats.org/officeDocument/2006/relationships/hyperlink" Target="https://www.zotero.org/google-docs/?3h4osd" TargetMode="External"/><Relationship Id="rId14" Type="http://schemas.openxmlformats.org/officeDocument/2006/relationships/hyperlink" Target="https://www.zotero.org/google-docs/?broken=SxJt9M" TargetMode="External"/><Relationship Id="rId58" Type="http://schemas.openxmlformats.org/officeDocument/2006/relationships/hyperlink" Target="https://www.zotero.org/google-docs/?3h4osd" TargetMode="External"/><Relationship Id="rId17" Type="http://schemas.openxmlformats.org/officeDocument/2006/relationships/hyperlink" Target="https://www.zotero.org/google-docs/?broken=SxJt9M" TargetMode="External"/><Relationship Id="rId16" Type="http://schemas.openxmlformats.org/officeDocument/2006/relationships/hyperlink" Target="https://www.zotero.org/google-docs/?broken=SxJt9M" TargetMode="External"/><Relationship Id="rId19" Type="http://schemas.openxmlformats.org/officeDocument/2006/relationships/hyperlink" Target="https://www.zotero.org/google-docs/?UEgnOo" TargetMode="External"/><Relationship Id="rId18" Type="http://schemas.openxmlformats.org/officeDocument/2006/relationships/hyperlink" Target="https://webcourses.ucf.edu/courses/1448080/assignments/8390367"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