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rPr>
      </w:pPr>
      <w:r w:rsidDel="00000000" w:rsidR="00000000" w:rsidRPr="00000000">
        <w:rPr>
          <w:color w:val="2d3b45"/>
          <w:sz w:val="24"/>
          <w:szCs w:val="24"/>
          <w:rtl w:val="0"/>
        </w:rPr>
        <w:t xml:space="preserve">1. What does it mean to say "bodies are not bounded"? How does this connect to sex and gender binaries that Fausto-Sterling disrupts? </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color w:val="2d3b45"/>
          <w:sz w:val="24"/>
          <w:szCs w:val="24"/>
          <w:rtl w:val="0"/>
        </w:rPr>
        <w:t xml:space="preserve">2. How </w:t>
      </w:r>
      <w:r w:rsidDel="00000000" w:rsidR="00000000" w:rsidRPr="00000000">
        <w:rPr>
          <w:i w:val="1"/>
          <w:color w:val="2d3b45"/>
          <w:sz w:val="24"/>
          <w:szCs w:val="24"/>
          <w:rtl w:val="0"/>
        </w:rPr>
        <w:t xml:space="preserve">can </w:t>
      </w:r>
      <w:r w:rsidDel="00000000" w:rsidR="00000000" w:rsidRPr="00000000">
        <w:rPr>
          <w:color w:val="2d3b45"/>
          <w:sz w:val="24"/>
          <w:szCs w:val="24"/>
          <w:rtl w:val="0"/>
        </w:rPr>
        <w:t xml:space="preserve">Fausto-Sterling connect to your research and scholarship?  </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3. Do you have any critiques of her claims or argument? </w:t>
      </w:r>
    </w:p>
    <w:p w:rsidR="00000000" w:rsidDel="00000000" w:rsidP="00000000" w:rsidRDefault="00000000" w:rsidRPr="00000000" w14:paraId="00000004">
      <w:pPr>
        <w:shd w:fill="ffffff" w:val="clear"/>
        <w:spacing w:after="180" w:before="180" w:lineRule="auto"/>
        <w:rPr/>
      </w:pPr>
      <w:r w:rsidDel="00000000" w:rsidR="00000000" w:rsidRPr="00000000">
        <w:rPr>
          <w:rtl w:val="0"/>
        </w:rPr>
      </w:r>
    </w:p>
    <w:p w:rsidR="00000000" w:rsidDel="00000000" w:rsidP="00000000" w:rsidRDefault="00000000" w:rsidRPr="00000000" w14:paraId="00000005">
      <w:pPr>
        <w:shd w:fill="ffffff" w:val="clear"/>
        <w:spacing w:after="180" w:before="180" w:lineRule="auto"/>
        <w:rPr/>
      </w:pPr>
      <w:r w:rsidDel="00000000" w:rsidR="00000000" w:rsidRPr="00000000">
        <w:rPr>
          <w:rtl w:val="0"/>
        </w:rPr>
        <w:t xml:space="preserve">Fausto-Sterling states that “bodies are not bounded” on the last page of the conclusion, which she follows with: “To understand sex and gender we have to study how sensory, emotional and motor experience becomes embodied,” (pg. 123) before continuing to describe future tensions in scientific discovery related to sex and gender as distinct categories with evolving qualities. There’s a very clear connection between Fausto-Sterling and my research in that I envision that one of my dissertation chapters will cover representations of gender and sexual difference in the Pokemon games. Many Japanese games feature androgynous characters, and Pokemon, in particular, tends to have a fair few of these, although due to the nature of the games, we have a limited amount of information about sex and sexuality in the games. As such, I’ve generally thought that I’d specifically make claims related to gender as opposed to gender and sex or sexuality in reference to these games with my research. I don’t have any particular critiques about Fausto-Sterling’s claims or arguments as presented in these chapters.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