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The link is statistically real but modest: it stays significant after allowing for picking the best of the 13 characteristics (p = 0.02) and after dropping any one circuit (0.55 to 0.66). No mechanism is proven: elevation change may stand in for other features of those circuits, such as layout and surface.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The curve describes the average lap, not every stint. </w:t>
      </w:r>
      <w:r>
        <w:rPr>
          <w:rFonts w:ascii="Arial" w:cs="Arial" w:eastAsia="Arial" w:hAnsi="Arial"/>
          <w:sz w:val="21"/>
          <w:szCs w:val="21"/>
        </w:rPr>
        <w:t xml:space="preserve">Over all 3,353 stints the model sits 13% below the average stint slope (soft 0.069 against 0.084 s per lap) and 53% of stints are steeper than it. Stints of 18 laps or fewer average 0.069 against 0.056 modelled; stints over 25 laps average 0.035 against 0.037. The fit weighs laps equally, so long stints dominate, and long stints are the gentle ones because tyres that wear fast are changed early. Stint slopes also differ a great deal (modelled and actual slopes correlate at 0.40). Weighting stints equally removes the gap but fits unseen 2025 stints worse, so it was not used.</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The demo is hosted at f1-tyre-degradation-predictor.streamlit.app. </w:t>
      </w:r>
      <w:r>
        <w:rPr>
          <w:rFonts w:ascii="Arial" w:cs="Arial" w:eastAsia="Arial" w:hAnsi="Arial"/>
          <w:b/>
          <w:bCs/>
          <w:sz w:val="21"/>
          <w:szCs w:val="21"/>
        </w:rPr>
        <w:t xml:space="preserve">Predictor</w:t>
      </w:r>
      <w:r>
        <w:rPr>
          <w:rFonts w:ascii="Arial" w:cs="Arial" w:eastAsia="Arial" w:hAnsi="Arial"/>
          <w:sz w:val="21"/>
          <w:szCs w:val="21"/>
        </w:rPr>
        <w:t xml:space="preserve"> has two parts. </w:t>
      </w:r>
      <w:r>
        <w:rPr>
          <w:rFonts w:ascii="Arial" w:cs="Arial" w:eastAsia="Arial" w:hAnsi="Arial"/>
          <w:b/>
          <w:bCs/>
          <w:sz w:val="21"/>
          <w:szCs w:val="21"/>
        </w:rPr>
        <w:t xml:space="preserve">Lap times</w:t>
      </w:r>
      <w:r>
        <w:rPr>
          <w:rFonts w:ascii="Arial" w:cs="Arial" w:eastAsia="Arial" w:hAnsi="Arial"/>
          <w:sz w:val="21"/>
          <w:szCs w:val="21"/>
        </w:rPr>
        <w:t xml:space="preserve"> runs the from-scratch gradient boosting models (pre-lap and live) on laps the user types, pastes or uploads (lap number, lap time, compound, tyre life, track temperature and an optional circuit) and shows predicted against actual lap times; inputs left out take neutral defaults. </w:t>
      </w:r>
      <w:r>
        <w:rPr>
          <w:rFonts w:ascii="Arial" w:cs="Arial" w:eastAsia="Arial" w:hAnsi="Arial"/>
          <w:b/>
          <w:bCs/>
          <w:sz w:val="21"/>
          <w:szCs w:val="21"/>
        </w:rPr>
        <w:t xml:space="preserve">Tyre curves</w:t>
      </w:r>
      <w:r>
        <w:rPr>
          <w:rFonts w:ascii="Arial" w:cs="Arial" w:eastAsia="Arial" w:hAnsi="Arial"/>
          <w:sz w:val="21"/>
          <w:szCs w:val="21"/>
        </w:rPr>
        <w:t xml:space="preserve"> draws the degradation curves for the three compounds at any circuit and track temperature, with a band for the average (95%) or for single stints (middle 80%)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and the circuit characteristics.</w:t>
      </w:r>
    </w:p>
    <w:p>
      <w:pPr>
        <w:keepNext/>
        <w:spacing w:after="40" w:before="120"/>
      </w:pPr>
      <w:r>
        <w:drawing>
          <wp:inline distT="0" distB="0" distL="0" distR="0">
            <wp:extent cx="3886200" cy="4800600"/>
            <wp:effectExtent t="0" r="0" b="0" l="0"/>
            <wp:docPr id="1" name="app_laptimes.png" descr="Figure 6. Lap times, in the Predictor tab: the pre-lap and live gradient boosting predictions against the real lap times of one stint, with the error of each (the example stint is part of the training data)." title="Figure 6. Lap times, in the Predictor tab: the pre-lap and live gradient boosting predictions against the real lap times of one stint, with the error of each (the example stint is part of the train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48006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Lap times, in the Predictor tab: the pre-lap and live gradient boosting predictions against the real lap times of one stint, with the error of each (the example stint is part of the training data).</w:t>
      </w:r>
    </w:p>
    <w:p>
      <w:pPr>
        <w:keepNext/>
        <w:spacing w:after="40" w:before="120"/>
      </w:pPr>
      <w:r>
        <w:drawing>
          <wp:inline distT="0" distB="0" distL="0" distR="0">
            <wp:extent cx="3886200" cy="4086225"/>
            <wp:effectExtent t="0" r="0" b="0" l="0"/>
            <wp:docPr id="1" name="app_predictor.png" descr="Figure 7. Tyre curves, in the Predictor tab: curves and 95% bands for the three compounds at Bahrain, with the circuit profile measured from telemetry." title="Figure 7. Tyre curves, in the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40862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Tyre curves, in the Predictor tab: curves and 95% bands for the three compounds at Bahrain, with the circuit profile measured from telemetry.</w:t>
      </w:r>
    </w:p>
    <w:p>
      <w:pPr>
        <w:keepNext/>
        <w:spacing w:after="40" w:before="120"/>
      </w:pPr>
      <w:r>
        <w:drawing>
          <wp:inline distT="0" distB="0" distL="0" distR="0">
            <wp:extent cx="3886200" cy="3000375"/>
            <wp:effectExtent t="0" r="0" b="0" l="0"/>
            <wp:docPr id="1" name="app_explorer.png" descr="Figure 8. Race explorer tab: one driver's real stints (dots) against the degradation model (solid line) and the stint's own trend (dashed)." title="Figure 8. Race explorer tab: one driver's real stints (dots) against the degradation model (solid line) and the stint's own trend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0003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Race explorer tab: one driver's real stints (dots) against the degradation model (solid line) and the stint's own trend (dashed).</w:t>
      </w:r>
    </w:p>
    <w:p>
      <w:pPr>
        <w:keepNext/>
        <w:spacing w:after="40" w:before="120"/>
      </w:pPr>
      <w:r>
        <w:drawing>
          <wp:inline distT="0" distB="0" distL="0" distR="0">
            <wp:extent cx="3886200" cy="3829050"/>
            <wp:effectExtent t="0" r="0" b="0" l="0"/>
            <wp:docPr id="1" name="app_circuits.png" descr="Figure 9. Circuits tab: predicted lap-time loss after 20 laps on soft tyres at 35 C." title="Figure 9.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9.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fb53ccadd0991608cdc6801943c864bf1759d74e.png"/><Relationship Id="rId14" Type="http://schemas.openxmlformats.org/officeDocument/2006/relationships/image" Target="media/72f6d25ee2f4d7bda9023f35bea901c13dbe0344.png"/><Relationship Id="rId15" Type="http://schemas.openxmlformats.org/officeDocument/2006/relationships/image" Target="media/00d07fe36e7603d37d7aa223f079bb6f2aaba3ed.png"/><Relationship Id="rId16" Type="http://schemas.openxmlformats.org/officeDocument/2006/relationships/image" Target="media/99c302e3c97bbada26b13e48c27b3f649a33818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2026-10-28T04:37:17.098Z</dcterms:created>
  <dcterms:modified xsi:type="dcterms:W3CDTF">2026-10-28T04:37:17.099Z</dcterms:modified>
</cp:coreProperties>
</file>

<file path=docProps/custom.xml><?xml version="1.0" encoding="utf-8"?>
<Properties xmlns="http://schemas.openxmlformats.org/officeDocument/2006/custom-properties" xmlns:vt="http://schemas.openxmlformats.org/officeDocument/2006/docPropsVTypes"/>
</file>