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has two parts. </w:t>
      </w:r>
      <w:r>
        <w:rPr>
          <w:rFonts w:ascii="Arial" w:cs="Arial" w:eastAsia="Arial" w:hAnsi="Arial"/>
          <w:b/>
          <w:bCs/>
          <w:sz w:val="21"/>
          <w:szCs w:val="21"/>
        </w:rPr>
        <w:t xml:space="preserve">Lap times</w:t>
      </w:r>
      <w:r>
        <w:rPr>
          <w:rFonts w:ascii="Arial" w:cs="Arial" w:eastAsia="Arial" w:hAnsi="Arial"/>
          <w:sz w:val="21"/>
          <w:szCs w:val="21"/>
        </w:rPr>
        <w:t xml:space="preserve"> runs the from-scratch gradient boosting models (pre-lap and live) on laps the user types, pastes or uploads (lap number, lap time, compound, tyre life, track temperature and an optional circuit) and shows predicted against actual lap times; inputs left out take neutral defaults. </w:t>
      </w:r>
      <w:r>
        <w:rPr>
          <w:rFonts w:ascii="Arial" w:cs="Arial" w:eastAsia="Arial" w:hAnsi="Arial"/>
          <w:b/>
          <w:bCs/>
          <w:sz w:val="21"/>
          <w:szCs w:val="21"/>
        </w:rPr>
        <w:t xml:space="preserve">Tyre curves</w:t>
      </w:r>
      <w:r>
        <w:rPr>
          <w:rFonts w:ascii="Arial" w:cs="Arial" w:eastAsia="Arial" w:hAnsi="Arial"/>
          <w:sz w:val="21"/>
          <w:szCs w:val="21"/>
        </w:rPr>
        <w:t xml:space="preserve"> draws the degradation curves for the three compounds at any circuit and track temperature, with a band for the average (95%) or for single stints (middle 80%)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and the circuit characteristics.</w:t>
      </w:r>
    </w:p>
    <w:p>
      <w:pPr>
        <w:keepNext/>
        <w:spacing w:after="40" w:before="120"/>
      </w:pPr>
      <w:r>
        <w:drawing>
          <wp:inline distT="0" distB="0" distL="0" distR="0">
            <wp:extent cx="3886200" cy="4800600"/>
            <wp:effectExtent t="0" r="0" b="0" l="0"/>
            <wp:docPr id="1" name="app_laptimes.png" descr="Figure 6. Lap times, in the Predictor tab: the pre-lap and live gradient boosting models against the real laps of one stint (the example stint is part of the training data)." title="Figure 6. Lap times, in the Predictor tab: the pre-lap and live gradient boosting models against the real laps of one stint (the example stint is part of the train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48006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Lap times, in the Predictor tab: the pre-lap and live gradient boosting models against the real laps of one stint (the example stint is part of the training data).</w:t>
      </w:r>
    </w:p>
    <w:p>
      <w:pPr>
        <w:keepNext/>
        <w:spacing w:after="40" w:before="120"/>
      </w:pPr>
      <w:r>
        <w:drawing>
          <wp:inline distT="0" distB="0" distL="0" distR="0">
            <wp:extent cx="3886200" cy="4086225"/>
            <wp:effectExtent t="0" r="0" b="0" l="0"/>
            <wp:docPr id="1" name="app_predictor.png" descr="Figure 7. Tyre curves, in the Predictor tab: curves and 95% bands for the three compounds at Bahrain, with the circuit profile measured from telemetry." title="Figure 7. Tyre curves, in the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Tyre curves, in the Predictor tab: curves and 95% bands for the three compounds at Bahrain, with the circuit profile measured from telemetry.</w:t>
      </w:r>
    </w:p>
    <w:p>
      <w:pPr>
        <w:keepNext/>
        <w:spacing w:after="40" w:before="120"/>
      </w:pPr>
      <w:r>
        <w:drawing>
          <wp:inline distT="0" distB="0" distL="0" distR="0">
            <wp:extent cx="3886200" cy="3000375"/>
            <wp:effectExtent t="0" r="0" b="0" l="0"/>
            <wp:docPr id="1" name="app_explorer.png" descr="Figure 8. Race explorer tab: one driver's real stints (dots) against the degradation model (solid line) and the stint's own trend (dashed)." title="Figure 8. Race explorer tab: one driver's real stints (dots) against the degradation model (solid line) and the stint's own trend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0003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Race explorer tab: one driver's real stints (dots) against the degradation model (solid line) and the stint's own trend (dashed).</w:t>
      </w:r>
    </w:p>
    <w:p>
      <w:pPr>
        <w:keepNext/>
        <w:spacing w:after="40" w:before="120"/>
      </w:pPr>
      <w:r>
        <w:drawing>
          <wp:inline distT="0" distB="0" distL="0" distR="0">
            <wp:extent cx="3886200" cy="3829050"/>
            <wp:effectExtent t="0" r="0" b="0" l="0"/>
            <wp:docPr id="1" name="app_circuits.png" descr="Figure 9. Circuits tab: predicted lap-time loss after 20 laps on soft tyres at 35 C." title="Figure 9.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9.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84654a66d75ea79686703c95c36492a5d20cada8.png"/><Relationship Id="rId14" Type="http://schemas.openxmlformats.org/officeDocument/2006/relationships/image" Target="media/72f6d25ee2f4d7bda9023f35bea901c13dbe0344.png"/><Relationship Id="rId15" Type="http://schemas.openxmlformats.org/officeDocument/2006/relationships/image" Target="media/00d07fe36e7603d37d7aa223f079bb6f2aaba3ed.png"/><Relationship Id="rId16" Type="http://schemas.openxmlformats.org/officeDocument/2006/relationships/image" Target="media/99c302e3c97bbada26b13e48c27b3f649a3381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2026-10-27T20:01:53.862Z</dcterms:created>
  <dcterms:modified xsi:type="dcterms:W3CDTF">2026-10-27T20:01:53.863Z</dcterms:modified>
</cp:coreProperties>
</file>

<file path=docProps/custom.xml><?xml version="1.0" encoding="utf-8"?>
<Properties xmlns="http://schemas.openxmlformats.org/officeDocument/2006/custom-properties" xmlns:vt="http://schemas.openxmlformats.org/officeDocument/2006/docPropsVTypes"/>
</file>