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w:t>
      </w:r>
      <w:r>
        <w:rPr>
          <w:rFonts w:ascii="Arial" w:cs="Arial" w:eastAsia="Arial" w:hAnsi="Arial"/>
          <w:b/>
          <w:bCs/>
          <w:sz w:val="21"/>
          <w:szCs w:val="21"/>
        </w:rPr>
        <w:t xml:space="preserve">Predictor</w:t>
      </w:r>
      <w:r>
        <w:rPr>
          <w:rFonts w:ascii="Arial" w:cs="Arial" w:eastAsia="Arial" w:hAnsi="Arial"/>
          <w:sz w:val="21"/>
          <w:szCs w:val="21"/>
        </w:rPr>
        <w:t xml:space="preserve"> draws the degradation curves for the three compounds at any circuit and track temperature, with a band for the average (95%) or for single stints (middle 80%)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and the circuit characteristics.</w:t>
      </w:r>
    </w:p>
    <w:p>
      <w:pPr>
        <w:keepNext/>
        <w:spacing w:after="40" w:before="120"/>
      </w:pPr>
      <w:r>
        <w:drawing>
          <wp:inline distT="0" distB="0" distL="0" distR="0">
            <wp:extent cx="3886200" cy="4086225"/>
            <wp:effectExtent t="0" r="0" b="0" l="0"/>
            <wp:docPr id="1" name="app_predictor.png" descr="Figure 6. Predictor tab: curves and 95% bands for the three compounds at Bahrain, with the circuit profile measured from telemetry." title="Figure 6.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Predictor tab: curves and 95% bands for the three compounds at Bahrain, with the circuit profile measured from telemetry.</w:t>
      </w:r>
    </w:p>
    <w:p>
      <w:pPr>
        <w:keepNext/>
        <w:spacing w:after="40" w:before="120"/>
      </w:pPr>
      <w:r>
        <w:drawing>
          <wp:inline distT="0" distB="0" distL="0" distR="0">
            <wp:extent cx="3886200" cy="3000375"/>
            <wp:effectExtent t="0" r="0" b="0" l="0"/>
            <wp:docPr id="1" name="app_explorer.png" descr="Figure 7. Race explorer tab: one driver's real stints (dots) against the degradation model (solid line) and the stint's own trend (dashed)." title="Figure 7. Race explorer tab: one driver's real stints (dots) against the degradation model (solid line) and the stint's own trend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30003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Race explorer tab: one driver's real stints (dots) against the degradation model (solid line) and the stint's own trend (dashed).</w:t>
      </w:r>
    </w:p>
    <w:p>
      <w:pPr>
        <w:keepNext/>
        <w:spacing w:after="40" w:before="120"/>
      </w:pPr>
      <w:r>
        <w:drawing>
          <wp:inline distT="0" distB="0" distL="0" distR="0">
            <wp:extent cx="3886200" cy="3829050"/>
            <wp:effectExtent t="0" r="0" b="0" l="0"/>
            <wp:docPr id="1" name="app_circuits.png" descr="Figure 8. Circuits tab: predicted lap-time loss after 20 laps on soft tyres at 35 C." title="Figure 8.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72f6d25ee2f4d7bda9023f35bea901c13dbe0344.png"/><Relationship Id="rId14" Type="http://schemas.openxmlformats.org/officeDocument/2006/relationships/image" Target="media/00d07fe36e7603d37d7aa223f079bb6f2aaba3ed.png"/><Relationship Id="rId15" Type="http://schemas.openxmlformats.org/officeDocument/2006/relationships/image" Target="media/99c302e3c97bbada26b13e48c27b3f649a33818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2026-10-27T19:35:19.259Z</dcterms:created>
  <dcterms:modified xsi:type="dcterms:W3CDTF">2026-10-27T19:35:19.260Z</dcterms:modified>
</cp:coreProperties>
</file>

<file path=docProps/custom.xml><?xml version="1.0" encoding="utf-8"?>
<Properties xmlns="http://schemas.openxmlformats.org/officeDocument/2006/custom-properties" xmlns:vt="http://schemas.openxmlformats.org/officeDocument/2006/docPropsVTypes"/>
</file>