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078"/>
          <w:sz w:val="56"/>
        </w:rPr>
        <w:t>AI2E Scenario Engine</w:t>
      </w:r>
    </w:p>
    <w:p>
      <w:pPr>
        <w:jc w:val="center"/>
      </w:pPr>
      <w:r>
        <w:rPr>
          <w:i/>
          <w:color w:val="555560"/>
          <w:sz w:val="28"/>
        </w:rPr>
        <w:t>Architecture &amp; Data-Mechanism Specification</w:t>
        <w:br/>
        <w:t>for the Ariba Integration Agent (AIA) Chrome Extension</w:t>
      </w:r>
    </w:p>
    <w:p>
      <w:pPr>
        <w:jc w:val="center"/>
      </w:pPr>
      <w:r>
        <w:rPr>
          <w:color w:val="555560"/>
          <w:sz w:val="20"/>
        </w:rPr>
        <w:br/>
        <w:t>Source: AI2E Tables.xlsx  ·  Date: 2026-05-21  ·  Status: Architecture proposal</w:t>
        <w:br/>
        <w:t>Selected modes: 1c (classify + generate) · 2b (template splice) · 3b (extended mutation) · 4d (unified source adapter)</w:t>
      </w:r>
    </w:p>
    <w:p>
      <w:r>
        <w:br/>
      </w:r>
    </w:p>
    <w:p>
      <w:pPr>
        <w:pStyle w:val="Heading1"/>
      </w:pPr>
      <w:r>
        <w:rPr>
          <w:rFonts w:ascii="Calibri" w:hAnsi="Calibri"/>
          <w:color w:val="145078"/>
        </w:rPr>
        <w:t>1. Executive Summary</w:t>
      </w:r>
    </w:p>
    <w:p>
      <w:pPr>
        <w:spacing w:after="80"/>
      </w:pPr>
      <w:r>
        <w:rPr>
          <w:b w:val="0"/>
          <w:i w:val="0"/>
        </w:rPr>
        <w:t>This document specifies the architecture for the AI2E (AI-to-Execute) Scenario Engine — an in-extension subsystem that ingests retrieved Purchase Orders, classifies them against a curated catalog of 35 cXML order scenarios, and synthesizes valid variant POs for testing buyer/supplier integrations on the SAP Business Network. The engine is grounded in five concrete data assets contained in AI2E Tables.xlsx and is wired into the existing AIA AI tab (Retrieval + Analyzer).</w:t>
      </w:r>
    </w:p>
    <w:p>
      <w:pPr>
        <w:spacing w:after="80"/>
      </w:pPr>
      <w:r>
        <w:rPr>
          <w:b/>
          <w:i w:val="0"/>
        </w:rPr>
        <w:t>Selected operating modes (per stakeholder decision):</w:t>
      </w:r>
    </w:p>
    <w:tbl>
      <w:tblPr>
        <w:tblStyle w:val="LightGrid-Accent1"/>
        <w:tblW w:type="auto" w:w="0"/>
        <w:tblLayout w:type="fixed"/>
        <w:tblLook w:firstColumn="1" w:firstRow="1" w:lastColumn="0" w:lastRow="0" w:noHBand="0" w:noVBand="1" w:val="04A0"/>
      </w:tblPr>
      <w:tblGrid>
        <w:gridCol w:w="3289"/>
        <w:gridCol w:w="3289"/>
        <w:gridCol w:w="3289"/>
      </w:tblGrid>
      <w:tr>
        <w:tc>
          <w:tcPr>
            <w:tcW w:type="dxa" w:w="2551"/>
            <w:shd w:val="clear" w:color="auto" w:fill="14507A"/>
          </w:tcPr>
          <w:p>
            <w:r/>
            <w:r>
              <w:rPr>
                <w:b/>
                <w:color w:val="FFFFFF"/>
                <w:sz w:val="20"/>
              </w:rPr>
              <w:t>Decision</w:t>
            </w:r>
          </w:p>
        </w:tc>
        <w:tc>
          <w:tcPr>
            <w:tcW w:type="dxa" w:w="3969"/>
            <w:shd w:val="clear" w:color="auto" w:fill="14507A"/>
          </w:tcPr>
          <w:p>
            <w:r/>
            <w:r>
              <w:rPr>
                <w:b/>
                <w:color w:val="FFFFFF"/>
                <w:sz w:val="20"/>
              </w:rPr>
              <w:t>Selected</w:t>
            </w:r>
          </w:p>
        </w:tc>
        <w:tc>
          <w:tcPr>
            <w:tcW w:type="dxa" w:w="3118"/>
            <w:shd w:val="clear" w:color="auto" w:fill="14507A"/>
          </w:tcPr>
          <w:p>
            <w:r/>
            <w:r>
              <w:rPr>
                <w:b/>
                <w:color w:val="FFFFFF"/>
                <w:sz w:val="20"/>
              </w:rPr>
              <w:t>Implication</w:t>
            </w:r>
          </w:p>
        </w:tc>
      </w:tr>
      <w:tr>
        <w:tc>
          <w:tcPr>
            <w:tcW w:type="dxa" w:w="2551"/>
          </w:tcPr>
          <w:p>
            <w:r/>
            <w:r>
              <w:rPr>
                <w:sz w:val="19"/>
              </w:rPr>
              <w:t>1. Analyzer scope</w:t>
            </w:r>
          </w:p>
        </w:tc>
        <w:tc>
          <w:tcPr>
            <w:tcW w:type="dxa" w:w="3969"/>
          </w:tcPr>
          <w:p>
            <w:r/>
            <w:r>
              <w:rPr>
                <w:sz w:val="19"/>
              </w:rPr>
              <w:t>1c — Classify retrieved POs AND use them as bases for generation</w:t>
            </w:r>
          </w:p>
        </w:tc>
        <w:tc>
          <w:tcPr>
            <w:tcW w:type="dxa" w:w="3118"/>
          </w:tcPr>
          <w:p>
            <w:r/>
            <w:r>
              <w:rPr>
                <w:sz w:val="19"/>
              </w:rPr>
              <w:t>Engine has both a Detector and a Generator path; classification feeds coverage UI.</w:t>
            </w:r>
          </w:p>
        </w:tc>
      </w:tr>
      <w:tr>
        <w:tc>
          <w:tcPr>
            <w:tcW w:type="dxa" w:w="2551"/>
            <w:shd w:val="clear" w:color="auto" w:fill="F4F8FB"/>
          </w:tcPr>
          <w:p>
            <w:r/>
            <w:r>
              <w:rPr>
                <w:sz w:val="19"/>
              </w:rPr>
              <w:t>2. Incompatible-base handling</w:t>
            </w:r>
          </w:p>
        </w:tc>
        <w:tc>
          <w:tcPr>
            <w:tcW w:type="dxa" w:w="3969"/>
            <w:shd w:val="clear" w:color="auto" w:fill="F4F8FB"/>
          </w:tcPr>
          <w:p>
            <w:r/>
            <w:r>
              <w:rPr>
                <w:sz w:val="19"/>
              </w:rPr>
              <w:t>2b — Splice missing structures from the golden cXML template</w:t>
            </w:r>
          </w:p>
        </w:tc>
        <w:tc>
          <w:tcPr>
            <w:tcW w:type="dxa" w:w="3118"/>
            <w:shd w:val="clear" w:color="auto" w:fill="F4F8FB"/>
          </w:tcPr>
          <w:p>
            <w:r/>
            <w:r>
              <w:rPr>
                <w:sz w:val="19"/>
              </w:rPr>
              <w:t>Generator falls back to template-driven synthesis when XPath-required elements are absent in the base.</w:t>
            </w:r>
          </w:p>
        </w:tc>
      </w:tr>
      <w:tr>
        <w:tc>
          <w:tcPr>
            <w:tcW w:type="dxa" w:w="2551"/>
          </w:tcPr>
          <w:p>
            <w:r/>
            <w:r>
              <w:rPr>
                <w:sz w:val="19"/>
              </w:rPr>
              <w:t>3. Mutation surface</w:t>
            </w:r>
          </w:p>
        </w:tc>
        <w:tc>
          <w:tcPr>
            <w:tcW w:type="dxa" w:w="3969"/>
          </w:tcPr>
          <w:p>
            <w:r/>
            <w:r>
              <w:rPr>
                <w:sz w:val="19"/>
              </w:rPr>
              <w:t>3b — Extend CIG modifiable-fields beyond the original 14</w:t>
            </w:r>
          </w:p>
        </w:tc>
        <w:tc>
          <w:tcPr>
            <w:tcW w:type="dxa" w:w="3118"/>
          </w:tcPr>
          <w:p>
            <w:r/>
            <w:r>
              <w:rPr>
                <w:sz w:val="19"/>
              </w:rPr>
              <w:t>Original 14 fields kept as a "supplier-editable" subset; an extended set covers all 35 scenarios.</w:t>
            </w:r>
          </w:p>
        </w:tc>
      </w:tr>
      <w:tr>
        <w:tc>
          <w:tcPr>
            <w:tcW w:type="dxa" w:w="2551"/>
            <w:shd w:val="clear" w:color="auto" w:fill="F4F8FB"/>
          </w:tcPr>
          <w:p>
            <w:r/>
            <w:r>
              <w:rPr>
                <w:sz w:val="19"/>
              </w:rPr>
              <w:t>4. Source of retrieved POs</w:t>
            </w:r>
          </w:p>
        </w:tc>
        <w:tc>
          <w:tcPr>
            <w:tcW w:type="dxa" w:w="3969"/>
            <w:shd w:val="clear" w:color="auto" w:fill="F4F8FB"/>
          </w:tcPr>
          <w:p>
            <w:r/>
            <w:r>
              <w:rPr>
                <w:sz w:val="19"/>
              </w:rPr>
              <w:t>4d — Unified Source Adapter (upload + REST API + DOM scrape)</w:t>
            </w:r>
          </w:p>
        </w:tc>
        <w:tc>
          <w:tcPr>
            <w:tcW w:type="dxa" w:w="3118"/>
            <w:shd w:val="clear" w:color="auto" w:fill="F4F8FB"/>
          </w:tcPr>
          <w:p>
            <w:r/>
            <w:r>
              <w:rPr>
                <w:sz w:val="19"/>
              </w:rPr>
              <w:t>A normalization layer presents a single CanonicalPO interface to the Detector and Generator.</w:t>
            </w:r>
          </w:p>
        </w:tc>
      </w:tr>
    </w:tbl>
    <w:p>
      <w:pPr>
        <w:pStyle w:val="Heading1"/>
      </w:pPr>
      <w:r>
        <w:rPr>
          <w:rFonts w:ascii="Calibri" w:hAnsi="Calibri"/>
          <w:color w:val="145078"/>
        </w:rPr>
        <w:t>2. AI2E Tables.xlsx — file inventory and role mapping</w:t>
      </w:r>
    </w:p>
    <w:p>
      <w:pPr>
        <w:spacing w:after="80"/>
      </w:pPr>
      <w:r>
        <w:rPr>
          <w:b w:val="0"/>
          <w:i w:val="0"/>
        </w:rPr>
        <w:t>The Excel file is not a flat reference; it is a five-layer specification. Each sheet maps to either a static catalog (bundled JSON), a runtime data store (chrome.storage.local), or a structural reference (golden cXML template).</w:t>
      </w:r>
    </w:p>
    <w:tbl>
      <w:tblPr>
        <w:tblStyle w:val="LightGrid-Accent1"/>
        <w:tblW w:type="auto" w:w="0"/>
        <w:tblLayout w:type="fixed"/>
        <w:tblLook w:firstColumn="1" w:firstRow="1" w:lastColumn="0" w:lastRow="0" w:noHBand="0" w:noVBand="1" w:val="04A0"/>
      </w:tblPr>
      <w:tblGrid>
        <w:gridCol w:w="2466"/>
        <w:gridCol w:w="2466"/>
        <w:gridCol w:w="2466"/>
        <w:gridCol w:w="2466"/>
      </w:tblGrid>
      <w:tr>
        <w:tc>
          <w:tcPr>
            <w:tcW w:type="dxa" w:w="2268"/>
            <w:shd w:val="clear" w:color="auto" w:fill="14507A"/>
          </w:tcPr>
          <w:p>
            <w:r/>
            <w:r>
              <w:rPr>
                <w:b/>
                <w:color w:val="FFFFFF"/>
                <w:sz w:val="20"/>
              </w:rPr>
              <w:t>Layer</w:t>
            </w:r>
          </w:p>
        </w:tc>
        <w:tc>
          <w:tcPr>
            <w:tcW w:type="dxa" w:w="3118"/>
            <w:shd w:val="clear" w:color="auto" w:fill="14507A"/>
          </w:tcPr>
          <w:p>
            <w:r/>
            <w:r>
              <w:rPr>
                <w:b/>
                <w:color w:val="FFFFFF"/>
                <w:sz w:val="20"/>
              </w:rPr>
              <w:t>Sheets</w:t>
            </w:r>
          </w:p>
        </w:tc>
        <w:tc>
          <w:tcPr>
            <w:tcW w:type="dxa" w:w="3118"/>
            <w:shd w:val="clear" w:color="auto" w:fill="14507A"/>
          </w:tcPr>
          <w:p>
            <w:r/>
            <w:r>
              <w:rPr>
                <w:b/>
                <w:color w:val="FFFFFF"/>
                <w:sz w:val="20"/>
              </w:rPr>
              <w:t>Engine role</w:t>
            </w:r>
          </w:p>
        </w:tc>
        <w:tc>
          <w:tcPr>
            <w:tcW w:type="dxa" w:w="2268"/>
            <w:shd w:val="clear" w:color="auto" w:fill="14507A"/>
          </w:tcPr>
          <w:p>
            <w:r/>
            <w:r>
              <w:rPr>
                <w:b/>
                <w:color w:val="FFFFFF"/>
                <w:sz w:val="20"/>
              </w:rPr>
              <w:t>Persistence</w:t>
            </w:r>
          </w:p>
        </w:tc>
      </w:tr>
      <w:tr>
        <w:tc>
          <w:tcPr>
            <w:tcW w:type="dxa" w:w="2268"/>
          </w:tcPr>
          <w:p>
            <w:r/>
            <w:r>
              <w:rPr>
                <w:sz w:val="19"/>
              </w:rPr>
              <w:t>Environment &amp; connectivity</w:t>
            </w:r>
          </w:p>
        </w:tc>
        <w:tc>
          <w:tcPr>
            <w:tcW w:type="dxa" w:w="3118"/>
          </w:tcPr>
          <w:p>
            <w:r/>
            <w:r>
              <w:rPr>
                <w:sz w:val="19"/>
              </w:rPr>
              <w:t>Landscape · Lists</w:t>
            </w:r>
          </w:p>
        </w:tc>
        <w:tc>
          <w:tcPr>
            <w:tcW w:type="dxa" w:w="3118"/>
          </w:tcPr>
          <w:p>
            <w:r/>
            <w:r>
              <w:rPr>
                <w:sz w:val="19"/>
              </w:rPr>
              <w:t>Defines runtime endpoints, ANIDs, shared secrets, PII flag, and enums for status/result/purpose.</w:t>
            </w:r>
          </w:p>
        </w:tc>
        <w:tc>
          <w:tcPr>
            <w:tcW w:type="dxa" w:w="2268"/>
          </w:tcPr>
          <w:p>
            <w:r/>
            <w:r>
              <w:rPr>
                <w:sz w:val="19"/>
              </w:rPr>
              <w:t>Runtime — chrome.storage.local (landscapes, lists)</w:t>
            </w:r>
          </w:p>
        </w:tc>
      </w:tr>
      <w:tr>
        <w:tc>
          <w:tcPr>
            <w:tcW w:type="dxa" w:w="2268"/>
            <w:shd w:val="clear" w:color="auto" w:fill="F4F8FB"/>
          </w:tcPr>
          <w:p>
            <w:r/>
            <w:r>
              <w:rPr>
                <w:sz w:val="19"/>
              </w:rPr>
              <w:t>Source PO inventory</w:t>
            </w:r>
          </w:p>
        </w:tc>
        <w:tc>
          <w:tcPr>
            <w:tcW w:type="dxa" w:w="3118"/>
            <w:shd w:val="clear" w:color="auto" w:fill="F4F8FB"/>
          </w:tcPr>
          <w:p>
            <w:r/>
            <w:r>
              <w:rPr>
                <w:sz w:val="19"/>
              </w:rPr>
              <w:t>Source Transaction · Source Transaction Scenario</w:t>
            </w:r>
          </w:p>
        </w:tc>
        <w:tc>
          <w:tcPr>
            <w:tcW w:type="dxa" w:w="3118"/>
            <w:shd w:val="clear" w:color="auto" w:fill="F4F8FB"/>
          </w:tcPr>
          <w:p>
            <w:r/>
            <w:r>
              <w:rPr>
                <w:sz w:val="19"/>
              </w:rPr>
              <w:t>Tracks retrieved cXML files and the scenarios identified within each (many-to-many).</w:t>
            </w:r>
          </w:p>
        </w:tc>
        <w:tc>
          <w:tcPr>
            <w:tcW w:type="dxa" w:w="2268"/>
            <w:shd w:val="clear" w:color="auto" w:fill="F4F8FB"/>
          </w:tcPr>
          <w:p>
            <w:r/>
            <w:r>
              <w:rPr>
                <w:sz w:val="19"/>
              </w:rPr>
              <w:t>Runtime — sourceTransactions, sourceTransactionScenarios</w:t>
            </w:r>
          </w:p>
        </w:tc>
      </w:tr>
      <w:tr>
        <w:tc>
          <w:tcPr>
            <w:tcW w:type="dxa" w:w="2268"/>
          </w:tcPr>
          <w:p>
            <w:r/>
            <w:r>
              <w:rPr>
                <w:sz w:val="19"/>
              </w:rPr>
              <w:t>Test management hierarchy</w:t>
            </w:r>
          </w:p>
        </w:tc>
        <w:tc>
          <w:tcPr>
            <w:tcW w:type="dxa" w:w="3118"/>
          </w:tcPr>
          <w:p>
            <w:r/>
            <w:r>
              <w:rPr>
                <w:sz w:val="19"/>
              </w:rPr>
              <w:t>Test Plan · Test Cycle · Test Cycle - Buyer ANID · Test Suite · Test Case · Test Run · Test Data Sample</w:t>
            </w:r>
          </w:p>
        </w:tc>
        <w:tc>
          <w:tcPr>
            <w:tcW w:type="dxa" w:w="3118"/>
          </w:tcPr>
          <w:p>
            <w:r/>
            <w:r>
              <w:rPr>
                <w:sz w:val="19"/>
              </w:rPr>
              <w:t>Five-level test taxonomy (Plan → Cycle → Suite → Case → Run) plus the payload library.</w:t>
            </w:r>
          </w:p>
        </w:tc>
        <w:tc>
          <w:tcPr>
            <w:tcW w:type="dxa" w:w="2268"/>
          </w:tcPr>
          <w:p>
            <w:r/>
            <w:r>
              <w:rPr>
                <w:sz w:val="19"/>
              </w:rPr>
              <w:t>Runtime — flattened JSON in chrome.storage.local; DDL preserved in Others sheet.</w:t>
            </w:r>
          </w:p>
        </w:tc>
      </w:tr>
      <w:tr>
        <w:tc>
          <w:tcPr>
            <w:tcW w:type="dxa" w:w="2268"/>
            <w:shd w:val="clear" w:color="auto" w:fill="F4F8FB"/>
          </w:tcPr>
          <w:p>
            <w:r/>
            <w:r>
              <w:rPr>
                <w:sz w:val="19"/>
              </w:rPr>
              <w:t>Scenario catalog</w:t>
            </w:r>
          </w:p>
        </w:tc>
        <w:tc>
          <w:tcPr>
            <w:tcW w:type="dxa" w:w="3118"/>
            <w:shd w:val="clear" w:color="auto" w:fill="F4F8FB"/>
          </w:tcPr>
          <w:p>
            <w:r/>
            <w:r>
              <w:rPr>
                <w:sz w:val="19"/>
              </w:rPr>
              <w:t>Test Scenarios</w:t>
            </w:r>
          </w:p>
        </w:tc>
        <w:tc>
          <w:tcPr>
            <w:tcW w:type="dxa" w:w="3118"/>
            <w:shd w:val="clear" w:color="auto" w:fill="F4F8FB"/>
          </w:tcPr>
          <w:p>
            <w:r/>
            <w:r>
              <w:rPr>
                <w:sz w:val="19"/>
              </w:rPr>
              <w:t>35 PO scenarios across 5 dimensions, each with a machine-actionable XPath identifier.</w:t>
            </w:r>
          </w:p>
        </w:tc>
        <w:tc>
          <w:tcPr>
            <w:tcW w:type="dxa" w:w="2268"/>
            <w:shd w:val="clear" w:color="auto" w:fill="F4F8FB"/>
          </w:tcPr>
          <w:p>
            <w:r/>
            <w:r>
              <w:rPr>
                <w:sz w:val="19"/>
              </w:rPr>
              <w:t>Static — data/ai2e/scenarios.json (bundled)</w:t>
            </w:r>
          </w:p>
        </w:tc>
      </w:tr>
      <w:tr>
        <w:tc>
          <w:tcPr>
            <w:tcW w:type="dxa" w:w="2268"/>
          </w:tcPr>
          <w:p>
            <w:r/>
            <w:r>
              <w:rPr>
                <w:sz w:val="19"/>
              </w:rPr>
              <w:t>Schema &amp; mutation rules</w:t>
            </w:r>
          </w:p>
        </w:tc>
        <w:tc>
          <w:tcPr>
            <w:tcW w:type="dxa" w:w="3118"/>
          </w:tcPr>
          <w:p>
            <w:r/>
            <w:r>
              <w:rPr>
                <w:sz w:val="19"/>
              </w:rPr>
              <w:t>cXML Order Sample · CIG Modifiable Fields · Fields</w:t>
            </w:r>
          </w:p>
        </w:tc>
        <w:tc>
          <w:tcPr>
            <w:tcW w:type="dxa" w:w="3118"/>
          </w:tcPr>
          <w:p>
            <w:r/>
            <w:r>
              <w:rPr>
                <w:sz w:val="19"/>
              </w:rPr>
              <w:t>Golden cXML template (688 rows) + field-level mutation policy (random/auto/formula/list).</w:t>
            </w:r>
          </w:p>
        </w:tc>
        <w:tc>
          <w:tcPr>
            <w:tcW w:type="dxa" w:w="2268"/>
          </w:tcPr>
          <w:p>
            <w:r/>
            <w:r>
              <w:rPr>
                <w:sz w:val="19"/>
              </w:rPr>
              <w:t>Static — data/ai2e/cxml-template.xml + modifiable-fields.json (bundled)</w:t>
            </w:r>
          </w:p>
        </w:tc>
      </w:tr>
    </w:tbl>
    <w:p>
      <w:pPr>
        <w:pStyle w:val="Heading1"/>
      </w:pPr>
      <w:r>
        <w:rPr>
          <w:rFonts w:ascii="Calibri" w:hAnsi="Calibri"/>
          <w:color w:val="145078"/>
        </w:rPr>
        <w:t>3. Scenario Catalog — 35 scenarios, 5 dimensions</w:t>
      </w:r>
    </w:p>
    <w:p>
      <w:pPr>
        <w:spacing w:after="80"/>
      </w:pPr>
      <w:r>
        <w:rPr>
          <w:b w:val="0"/>
          <w:i w:val="0"/>
        </w:rPr>
        <w:t>The Test Scenarios sheet defines a fixed catalog of 35 PO variations. Each row carries an XPath-style predicate in the Unique Identifiers column. This predicate is the machine-readable contract: it works as both a Detector rule (does this PO already match scenario X?) and a Generator constraint (the variant must satisfy this XPath to count as scenario X).</w:t>
      </w:r>
    </w:p>
    <w:p>
      <w:pPr>
        <w:pStyle w:val="Heading2"/>
      </w:pPr>
      <w:r>
        <w:rPr>
          <w:rFonts w:ascii="Calibri" w:hAnsi="Calibri"/>
          <w:color w:val="145078"/>
        </w:rPr>
        <w:t>3.1 Dimensional breakdown</w:t>
      </w:r>
    </w:p>
    <w:tbl>
      <w:tblPr>
        <w:tblStyle w:val="LightGrid-Accent1"/>
        <w:tblW w:type="auto" w:w="0"/>
        <w:tblLayout w:type="fixed"/>
        <w:tblLook w:firstColumn="1" w:firstRow="1" w:lastColumn="0" w:lastRow="0" w:noHBand="0" w:noVBand="1" w:val="04A0"/>
      </w:tblPr>
      <w:tblGrid>
        <w:gridCol w:w="3289"/>
        <w:gridCol w:w="3289"/>
        <w:gridCol w:w="3289"/>
      </w:tblGrid>
      <w:tr>
        <w:tc>
          <w:tcPr>
            <w:tcW w:type="dxa" w:w="2835"/>
            <w:shd w:val="clear" w:color="auto" w:fill="14507A"/>
          </w:tcPr>
          <w:p>
            <w:r/>
            <w:r>
              <w:rPr>
                <w:b/>
                <w:color w:val="FFFFFF"/>
                <w:sz w:val="20"/>
              </w:rPr>
              <w:t>Dimension</w:t>
            </w:r>
          </w:p>
        </w:tc>
        <w:tc>
          <w:tcPr>
            <w:tcW w:type="dxa" w:w="1134"/>
            <w:shd w:val="clear" w:color="auto" w:fill="14507A"/>
          </w:tcPr>
          <w:p>
            <w:r/>
            <w:r>
              <w:rPr>
                <w:b/>
                <w:color w:val="FFFFFF"/>
                <w:sz w:val="20"/>
              </w:rPr>
              <w:t>Count</w:t>
            </w:r>
          </w:p>
        </w:tc>
        <w:tc>
          <w:tcPr>
            <w:tcW w:type="dxa" w:w="6803"/>
            <w:shd w:val="clear" w:color="auto" w:fill="14507A"/>
          </w:tcPr>
          <w:p>
            <w:r/>
            <w:r>
              <w:rPr>
                <w:b/>
                <w:color w:val="FFFFFF"/>
                <w:sz w:val="20"/>
              </w:rPr>
              <w:t>Example scenarios</w:t>
            </w:r>
          </w:p>
        </w:tc>
      </w:tr>
      <w:tr>
        <w:tc>
          <w:tcPr>
            <w:tcW w:type="dxa" w:w="2835"/>
          </w:tcPr>
          <w:p>
            <w:r/>
            <w:r>
              <w:rPr>
                <w:sz w:val="19"/>
              </w:rPr>
              <w:t>Header-Level Variations</w:t>
            </w:r>
          </w:p>
        </w:tc>
        <w:tc>
          <w:tcPr>
            <w:tcW w:type="dxa" w:w="1134"/>
          </w:tcPr>
          <w:p>
            <w:r/>
            <w:r>
              <w:rPr>
                <w:sz w:val="19"/>
              </w:rPr>
              <w:t>10</w:t>
            </w:r>
          </w:p>
        </w:tc>
        <w:tc>
          <w:tcPr>
            <w:tcW w:type="dxa" w:w="6803"/>
          </w:tcPr>
          <w:p>
            <w:r/>
            <w:r>
              <w:rPr>
                <w:sz w:val="19"/>
              </w:rPr>
              <w:t>Standard PO, Blanket PO, Change Order, Cancellation, Multi-Currency, Tax-Inclusive, Rush, Scheduled, Shipping Terms, BPO Release</w:t>
            </w:r>
          </w:p>
        </w:tc>
      </w:tr>
      <w:tr>
        <w:tc>
          <w:tcPr>
            <w:tcW w:type="dxa" w:w="2835"/>
            <w:shd w:val="clear" w:color="auto" w:fill="F4F8FB"/>
          </w:tcPr>
          <w:p>
            <w:r/>
            <w:r>
              <w:rPr>
                <w:sz w:val="19"/>
              </w:rPr>
              <w:t>Line-Level Variations</w:t>
            </w:r>
          </w:p>
        </w:tc>
        <w:tc>
          <w:tcPr>
            <w:tcW w:type="dxa" w:w="1134"/>
            <w:shd w:val="clear" w:color="auto" w:fill="F4F8FB"/>
          </w:tcPr>
          <w:p>
            <w:r/>
            <w:r>
              <w:rPr>
                <w:sz w:val="19"/>
              </w:rPr>
              <w:t>8</w:t>
            </w:r>
          </w:p>
        </w:tc>
        <w:tc>
          <w:tcPr>
            <w:tcW w:type="dxa" w:w="6803"/>
            <w:shd w:val="clear" w:color="auto" w:fill="F4F8FB"/>
          </w:tcPr>
          <w:p>
            <w:r/>
            <w:r>
              <w:rPr>
                <w:sz w:val="19"/>
              </w:rPr>
              <w:t>Single-Line, Multi-Line, Service Line, Catalog/Punch-Out, Free-Text, Subcontracting, Consignment, Configurable/BOM</w:t>
            </w:r>
          </w:p>
        </w:tc>
      </w:tr>
      <w:tr>
        <w:tc>
          <w:tcPr>
            <w:tcW w:type="dxa" w:w="2835"/>
          </w:tcPr>
          <w:p>
            <w:r/>
            <w:r>
              <w:rPr>
                <w:sz w:val="19"/>
              </w:rPr>
              <w:t>Delivery &amp; Distribution</w:t>
            </w:r>
          </w:p>
        </w:tc>
        <w:tc>
          <w:tcPr>
            <w:tcW w:type="dxa" w:w="1134"/>
          </w:tcPr>
          <w:p>
            <w:r/>
            <w:r>
              <w:rPr>
                <w:sz w:val="19"/>
              </w:rPr>
              <w:t>4</w:t>
            </w:r>
          </w:p>
        </w:tc>
        <w:tc>
          <w:tcPr>
            <w:tcW w:type="dxa" w:w="6803"/>
          </w:tcPr>
          <w:p>
            <w:r/>
            <w:r>
              <w:rPr>
                <w:sz w:val="19"/>
              </w:rPr>
              <w:t>Multi-Ship-To, Drop-Ship, Multi-Account Distribution, Partial Delivery</w:t>
            </w:r>
          </w:p>
        </w:tc>
      </w:tr>
      <w:tr>
        <w:tc>
          <w:tcPr>
            <w:tcW w:type="dxa" w:w="2835"/>
            <w:shd w:val="clear" w:color="auto" w:fill="F4F8FB"/>
          </w:tcPr>
          <w:p>
            <w:r/>
            <w:r>
              <w:rPr>
                <w:sz w:val="19"/>
              </w:rPr>
              <w:t>Financial &amp; Pricing</w:t>
            </w:r>
          </w:p>
        </w:tc>
        <w:tc>
          <w:tcPr>
            <w:tcW w:type="dxa" w:w="1134"/>
            <w:shd w:val="clear" w:color="auto" w:fill="F4F8FB"/>
          </w:tcPr>
          <w:p>
            <w:r/>
            <w:r>
              <w:rPr>
                <w:sz w:val="19"/>
              </w:rPr>
              <w:t>4</w:t>
            </w:r>
          </w:p>
        </w:tc>
        <w:tc>
          <w:tcPr>
            <w:tcW w:type="dxa" w:w="6803"/>
            <w:shd w:val="clear" w:color="auto" w:fill="F4F8FB"/>
          </w:tcPr>
          <w:p>
            <w:r/>
            <w:r>
              <w:rPr>
                <w:sz w:val="19"/>
              </w:rPr>
              <w:t>Header Charges, Line Allowances, Limit PO, Zero-Value/Free Goods</w:t>
            </w:r>
          </w:p>
        </w:tc>
      </w:tr>
      <w:tr>
        <w:tc>
          <w:tcPr>
            <w:tcW w:type="dxa" w:w="2835"/>
          </w:tcPr>
          <w:p>
            <w:r/>
            <w:r>
              <w:rPr>
                <w:sz w:val="19"/>
              </w:rPr>
              <w:t>Special Business Scenarios</w:t>
            </w:r>
          </w:p>
        </w:tc>
        <w:tc>
          <w:tcPr>
            <w:tcW w:type="dxa" w:w="1134"/>
          </w:tcPr>
          <w:p>
            <w:r/>
            <w:r>
              <w:rPr>
                <w:sz w:val="19"/>
              </w:rPr>
              <w:t>9</w:t>
            </w:r>
          </w:p>
        </w:tc>
        <w:tc>
          <w:tcPr>
            <w:tcW w:type="dxa" w:w="6803"/>
          </w:tcPr>
          <w:p>
            <w:r/>
            <w:r>
              <w:rPr>
                <w:sz w:val="19"/>
              </w:rPr>
              <w:t>Intercompany, Triangular, Return-to-Vendor, With Attachments, Quote/Contract Reference, Custom Extrinsics, Spot Buy, STO, Asset PO</w:t>
            </w:r>
          </w:p>
        </w:tc>
      </w:tr>
    </w:tbl>
    <w:p>
      <w:pPr>
        <w:pStyle w:val="Heading2"/>
      </w:pPr>
      <w:r>
        <w:rPr>
          <w:rFonts w:ascii="Calibri" w:hAnsi="Calibri"/>
          <w:color w:val="145078"/>
        </w:rPr>
        <w:t>3.2 Sample of XPath identifier rules (Detector contract)</w:t>
      </w:r>
    </w:p>
    <w:tbl>
      <w:tblPr>
        <w:tblStyle w:val="LightGrid-Accent1"/>
        <w:tblW w:type="auto" w:w="0"/>
        <w:tblLayout w:type="fixed"/>
        <w:tblLook w:firstColumn="1" w:firstRow="1" w:lastColumn="0" w:lastRow="0" w:noHBand="0" w:noVBand="1" w:val="04A0"/>
      </w:tblPr>
      <w:tblGrid>
        <w:gridCol w:w="3289"/>
        <w:gridCol w:w="3289"/>
        <w:gridCol w:w="3289"/>
      </w:tblGrid>
      <w:tr>
        <w:tc>
          <w:tcPr>
            <w:tcW w:type="dxa" w:w="680"/>
            <w:shd w:val="clear" w:color="auto" w:fill="14507A"/>
          </w:tcPr>
          <w:p>
            <w:r/>
            <w:r>
              <w:rPr>
                <w:b/>
                <w:color w:val="FFFFFF"/>
                <w:sz w:val="20"/>
              </w:rPr>
              <w:t>ID</w:t>
            </w:r>
          </w:p>
        </w:tc>
        <w:tc>
          <w:tcPr>
            <w:tcW w:type="dxa" w:w="3118"/>
            <w:shd w:val="clear" w:color="auto" w:fill="14507A"/>
          </w:tcPr>
          <w:p>
            <w:r/>
            <w:r>
              <w:rPr>
                <w:b/>
                <w:color w:val="FFFFFF"/>
                <w:sz w:val="20"/>
              </w:rPr>
              <w:t>Scenario</w:t>
            </w:r>
          </w:p>
        </w:tc>
        <w:tc>
          <w:tcPr>
            <w:tcW w:type="dxa" w:w="6973"/>
            <w:shd w:val="clear" w:color="auto" w:fill="14507A"/>
          </w:tcPr>
          <w:p>
            <w:r/>
            <w:r>
              <w:rPr>
                <w:b/>
                <w:color w:val="FFFFFF"/>
                <w:sz w:val="20"/>
              </w:rPr>
              <w:t>XPath / Identifier</w:t>
            </w:r>
          </w:p>
        </w:tc>
      </w:tr>
      <w:tr>
        <w:tc>
          <w:tcPr>
            <w:tcW w:type="dxa" w:w="680"/>
          </w:tcPr>
          <w:p>
            <w:r/>
            <w:r>
              <w:rPr>
                <w:sz w:val="19"/>
              </w:rPr>
              <w:t>4</w:t>
            </w:r>
          </w:p>
        </w:tc>
        <w:tc>
          <w:tcPr>
            <w:tcW w:type="dxa" w:w="3118"/>
          </w:tcPr>
          <w:p>
            <w:r/>
            <w:r>
              <w:rPr>
                <w:sz w:val="19"/>
              </w:rPr>
              <w:t>Change Order</w:t>
            </w:r>
          </w:p>
        </w:tc>
        <w:tc>
          <w:tcPr>
            <w:tcW w:type="dxa" w:w="6973"/>
          </w:tcPr>
          <w:p>
            <w:r/>
            <w:r>
              <w:rPr>
                <w:sz w:val="19"/>
              </w:rPr>
              <w:t>OrderRequestHeader/@type='update'</w:t>
            </w:r>
          </w:p>
        </w:tc>
      </w:tr>
      <w:tr>
        <w:tc>
          <w:tcPr>
            <w:tcW w:type="dxa" w:w="680"/>
            <w:shd w:val="clear" w:color="auto" w:fill="F4F8FB"/>
          </w:tcPr>
          <w:p>
            <w:r/>
            <w:r>
              <w:rPr>
                <w:sz w:val="19"/>
              </w:rPr>
              <w:t>5</w:t>
            </w:r>
          </w:p>
        </w:tc>
        <w:tc>
          <w:tcPr>
            <w:tcW w:type="dxa" w:w="3118"/>
            <w:shd w:val="clear" w:color="auto" w:fill="F4F8FB"/>
          </w:tcPr>
          <w:p>
            <w:r/>
            <w:r>
              <w:rPr>
                <w:sz w:val="19"/>
              </w:rPr>
              <w:t>PO Cancellation</w:t>
            </w:r>
          </w:p>
        </w:tc>
        <w:tc>
          <w:tcPr>
            <w:tcW w:type="dxa" w:w="6973"/>
            <w:shd w:val="clear" w:color="auto" w:fill="F4F8FB"/>
          </w:tcPr>
          <w:p>
            <w:r/>
            <w:r>
              <w:rPr>
                <w:sz w:val="19"/>
              </w:rPr>
              <w:t>OrderRequestHeader/@type='delete'</w:t>
            </w:r>
          </w:p>
        </w:tc>
      </w:tr>
      <w:tr>
        <w:tc>
          <w:tcPr>
            <w:tcW w:type="dxa" w:w="680"/>
          </w:tcPr>
          <w:p>
            <w:r/>
            <w:r>
              <w:rPr>
                <w:sz w:val="19"/>
              </w:rPr>
              <w:t>8</w:t>
            </w:r>
          </w:p>
        </w:tc>
        <w:tc>
          <w:tcPr>
            <w:tcW w:type="dxa" w:w="3118"/>
          </w:tcPr>
          <w:p>
            <w:r/>
            <w:r>
              <w:rPr>
                <w:sz w:val="19"/>
              </w:rPr>
              <w:t>Multi-Currency PO</w:t>
            </w:r>
          </w:p>
        </w:tc>
        <w:tc>
          <w:tcPr>
            <w:tcW w:type="dxa" w:w="6973"/>
          </w:tcPr>
          <w:p>
            <w:r/>
            <w:r>
              <w:rPr>
                <w:sz w:val="19"/>
              </w:rPr>
              <w:t>Multiple distinct Money/@currency values across the document</w:t>
            </w:r>
          </w:p>
        </w:tc>
      </w:tr>
      <w:tr>
        <w:tc>
          <w:tcPr>
            <w:tcW w:type="dxa" w:w="680"/>
            <w:shd w:val="clear" w:color="auto" w:fill="F4F8FB"/>
          </w:tcPr>
          <w:p>
            <w:r/>
            <w:r>
              <w:rPr>
                <w:sz w:val="19"/>
              </w:rPr>
              <w:t>11</w:t>
            </w:r>
          </w:p>
        </w:tc>
        <w:tc>
          <w:tcPr>
            <w:tcW w:type="dxa" w:w="3118"/>
            <w:shd w:val="clear" w:color="auto" w:fill="F4F8FB"/>
          </w:tcPr>
          <w:p>
            <w:r/>
            <w:r>
              <w:rPr>
                <w:sz w:val="19"/>
              </w:rPr>
              <w:t>Single-Line Item PO</w:t>
            </w:r>
          </w:p>
        </w:tc>
        <w:tc>
          <w:tcPr>
            <w:tcW w:type="dxa" w:w="6973"/>
            <w:shd w:val="clear" w:color="auto" w:fill="F4F8FB"/>
          </w:tcPr>
          <w:p>
            <w:r/>
            <w:r>
              <w:rPr>
                <w:sz w:val="19"/>
              </w:rPr>
              <w:t>count(//ItemOut) = 1</w:t>
            </w:r>
          </w:p>
        </w:tc>
      </w:tr>
      <w:tr>
        <w:tc>
          <w:tcPr>
            <w:tcW w:type="dxa" w:w="680"/>
          </w:tcPr>
          <w:p>
            <w:r/>
            <w:r>
              <w:rPr>
                <w:sz w:val="19"/>
              </w:rPr>
              <w:t>12</w:t>
            </w:r>
          </w:p>
        </w:tc>
        <w:tc>
          <w:tcPr>
            <w:tcW w:type="dxa" w:w="3118"/>
          </w:tcPr>
          <w:p>
            <w:r/>
            <w:r>
              <w:rPr>
                <w:sz w:val="19"/>
              </w:rPr>
              <w:t>Multi-Line Item PO</w:t>
            </w:r>
          </w:p>
        </w:tc>
        <w:tc>
          <w:tcPr>
            <w:tcW w:type="dxa" w:w="6973"/>
          </w:tcPr>
          <w:p>
            <w:r/>
            <w:r>
              <w:rPr>
                <w:sz w:val="19"/>
              </w:rPr>
              <w:t>count(//ItemOut) &gt; 1</w:t>
            </w:r>
          </w:p>
        </w:tc>
      </w:tr>
      <w:tr>
        <w:tc>
          <w:tcPr>
            <w:tcW w:type="dxa" w:w="680"/>
            <w:shd w:val="clear" w:color="auto" w:fill="F4F8FB"/>
          </w:tcPr>
          <w:p>
            <w:r/>
            <w:r>
              <w:rPr>
                <w:sz w:val="19"/>
              </w:rPr>
              <w:t>19</w:t>
            </w:r>
          </w:p>
        </w:tc>
        <w:tc>
          <w:tcPr>
            <w:tcW w:type="dxa" w:w="3118"/>
            <w:shd w:val="clear" w:color="auto" w:fill="F4F8FB"/>
          </w:tcPr>
          <w:p>
            <w:r/>
            <w:r>
              <w:rPr>
                <w:sz w:val="19"/>
              </w:rPr>
              <w:t>Multi-Ship-To</w:t>
            </w:r>
          </w:p>
        </w:tc>
        <w:tc>
          <w:tcPr>
            <w:tcW w:type="dxa" w:w="6973"/>
            <w:shd w:val="clear" w:color="auto" w:fill="F4F8FB"/>
          </w:tcPr>
          <w:p>
            <w:r/>
            <w:r>
              <w:rPr>
                <w:sz w:val="19"/>
              </w:rPr>
              <w:t>Multiple ShipTo elements with different Address/@addressID</w:t>
            </w:r>
          </w:p>
        </w:tc>
      </w:tr>
      <w:tr>
        <w:tc>
          <w:tcPr>
            <w:tcW w:type="dxa" w:w="680"/>
          </w:tcPr>
          <w:p>
            <w:r/>
            <w:r>
              <w:rPr>
                <w:sz w:val="19"/>
              </w:rPr>
              <w:t>25</w:t>
            </w:r>
          </w:p>
        </w:tc>
        <w:tc>
          <w:tcPr>
            <w:tcW w:type="dxa" w:w="3118"/>
          </w:tcPr>
          <w:p>
            <w:r/>
            <w:r>
              <w:rPr>
                <w:sz w:val="19"/>
              </w:rPr>
              <w:t>Limit PO (Value-Based)</w:t>
            </w:r>
          </w:p>
        </w:tc>
        <w:tc>
          <w:tcPr>
            <w:tcW w:type="dxa" w:w="6973"/>
          </w:tcPr>
          <w:p>
            <w:r/>
            <w:r>
              <w:rPr>
                <w:sz w:val="19"/>
              </w:rPr>
              <w:t>ItemOut/@quantity='1' AND Extrinsic[@name='LimitAmount']</w:t>
            </w:r>
          </w:p>
        </w:tc>
      </w:tr>
      <w:tr>
        <w:tc>
          <w:tcPr>
            <w:tcW w:type="dxa" w:w="680"/>
            <w:shd w:val="clear" w:color="auto" w:fill="F4F8FB"/>
          </w:tcPr>
          <w:p>
            <w:r/>
            <w:r>
              <w:rPr>
                <w:sz w:val="19"/>
              </w:rPr>
              <w:t>26</w:t>
            </w:r>
          </w:p>
        </w:tc>
        <w:tc>
          <w:tcPr>
            <w:tcW w:type="dxa" w:w="3118"/>
            <w:shd w:val="clear" w:color="auto" w:fill="F4F8FB"/>
          </w:tcPr>
          <w:p>
            <w:r/>
            <w:r>
              <w:rPr>
                <w:sz w:val="19"/>
              </w:rPr>
              <w:t>Zero-Value PO</w:t>
            </w:r>
          </w:p>
        </w:tc>
        <w:tc>
          <w:tcPr>
            <w:tcW w:type="dxa" w:w="6973"/>
            <w:shd w:val="clear" w:color="auto" w:fill="F4F8FB"/>
          </w:tcPr>
          <w:p>
            <w:r/>
            <w:r>
              <w:rPr>
                <w:sz w:val="19"/>
              </w:rPr>
              <w:t>ItemOut/ItemDetail/UnitPrice/Money = '0'</w:t>
            </w:r>
          </w:p>
        </w:tc>
      </w:tr>
      <w:tr>
        <w:tc>
          <w:tcPr>
            <w:tcW w:type="dxa" w:w="680"/>
          </w:tcPr>
          <w:p>
            <w:r/>
            <w:r>
              <w:rPr>
                <w:sz w:val="19"/>
              </w:rPr>
              <w:t>27</w:t>
            </w:r>
          </w:p>
        </w:tc>
        <w:tc>
          <w:tcPr>
            <w:tcW w:type="dxa" w:w="3118"/>
          </w:tcPr>
          <w:p>
            <w:r/>
            <w:r>
              <w:rPr>
                <w:sz w:val="19"/>
              </w:rPr>
              <w:t>Intercompany PO</w:t>
            </w:r>
          </w:p>
        </w:tc>
        <w:tc>
          <w:tcPr>
            <w:tcW w:type="dxa" w:w="6973"/>
          </w:tcPr>
          <w:p>
            <w:r/>
            <w:r>
              <w:rPr>
                <w:sz w:val="19"/>
              </w:rPr>
              <w:t>OrderRequestHeader/Extrinsic[@name='IntercompanyIndicator']</w:t>
            </w:r>
          </w:p>
        </w:tc>
      </w:tr>
      <w:tr>
        <w:tc>
          <w:tcPr>
            <w:tcW w:type="dxa" w:w="680"/>
            <w:shd w:val="clear" w:color="auto" w:fill="F4F8FB"/>
          </w:tcPr>
          <w:p>
            <w:r/>
            <w:r>
              <w:rPr>
                <w:sz w:val="19"/>
              </w:rPr>
              <w:t>30</w:t>
            </w:r>
          </w:p>
        </w:tc>
        <w:tc>
          <w:tcPr>
            <w:tcW w:type="dxa" w:w="3118"/>
            <w:shd w:val="clear" w:color="auto" w:fill="F4F8FB"/>
          </w:tcPr>
          <w:p>
            <w:r/>
            <w:r>
              <w:rPr>
                <w:sz w:val="19"/>
              </w:rPr>
              <w:t>PO with Attachments</w:t>
            </w:r>
          </w:p>
        </w:tc>
        <w:tc>
          <w:tcPr>
            <w:tcW w:type="dxa" w:w="6973"/>
            <w:shd w:val="clear" w:color="auto" w:fill="F4F8FB"/>
          </w:tcPr>
          <w:p>
            <w:r/>
            <w:r>
              <w:rPr>
                <w:sz w:val="19"/>
              </w:rPr>
              <w:t>Presence of Attachment or Comments/Attachment with URL elements</w:t>
            </w:r>
          </w:p>
        </w:tc>
      </w:tr>
    </w:tbl>
    <w:p>
      <w:pPr>
        <w:spacing w:after="80"/>
      </w:pPr>
      <w:r>
        <w:rPr>
          <w:b w:val="0"/>
          <w:i/>
        </w:rPr>
        <w:t>A canonical XPath/JS evaluator (e.g. fontoxpath or wicked-good-xpath) loaded in the service worker is sufficient. No Java/XSLT runtime is needed.</w:t>
      </w:r>
    </w:p>
    <w:p>
      <w:pPr>
        <w:pStyle w:val="Heading1"/>
      </w:pPr>
      <w:r>
        <w:rPr>
          <w:rFonts w:ascii="Calibri" w:hAnsi="Calibri"/>
          <w:color w:val="145078"/>
        </w:rPr>
        <w:t>4. Mutation Matrix — CIG Modifiable Fields (extended per Mode 3b)</w:t>
      </w:r>
    </w:p>
    <w:p>
      <w:pPr>
        <w:spacing w:after="80"/>
      </w:pPr>
      <w:r>
        <w:rPr>
          <w:b w:val="0"/>
          <w:i w:val="0"/>
        </w:rPr>
        <w:t>The CIG Modifiable Fields sheet defines the legal mutation surface for the engine. The original sheet contains 14 fields with policy metadata (Editable, Creation, Type, Random Range, Auto Range). Per Mode 3b, this set is extended at runtime with scenario-required fields so that all 35 scenarios are addressable.</w:t>
      </w:r>
    </w:p>
    <w:p>
      <w:pPr>
        <w:pStyle w:val="Heading2"/>
      </w:pPr>
      <w:r>
        <w:rPr>
          <w:rFonts w:ascii="Calibri" w:hAnsi="Calibri"/>
          <w:color w:val="145078"/>
        </w:rPr>
        <w:t>4.1 Original 14 fields (the supplier-editable subset)</w:t>
      </w:r>
    </w:p>
    <w:tbl>
      <w:tblPr>
        <w:tblStyle w:val="LightGrid-Accent1"/>
        <w:tblW w:type="auto" w:w="0"/>
        <w:tblLayout w:type="fixed"/>
        <w:tblLook w:firstColumn="1" w:firstRow="1" w:lastColumn="0" w:lastRow="0" w:noHBand="0" w:noVBand="1" w:val="04A0"/>
      </w:tblPr>
      <w:tblGrid>
        <w:gridCol w:w="1973"/>
        <w:gridCol w:w="1973"/>
        <w:gridCol w:w="1973"/>
        <w:gridCol w:w="1973"/>
        <w:gridCol w:w="1973"/>
      </w:tblGrid>
      <w:tr>
        <w:tc>
          <w:tcPr>
            <w:tcW w:type="dxa" w:w="3118"/>
            <w:shd w:val="clear" w:color="auto" w:fill="14507A"/>
          </w:tcPr>
          <w:p>
            <w:r/>
            <w:r>
              <w:rPr>
                <w:b/>
                <w:color w:val="FFFFFF"/>
                <w:sz w:val="20"/>
              </w:rPr>
              <w:t>Field</w:t>
            </w:r>
          </w:p>
        </w:tc>
        <w:tc>
          <w:tcPr>
            <w:tcW w:type="dxa" w:w="1134"/>
            <w:shd w:val="clear" w:color="auto" w:fill="14507A"/>
          </w:tcPr>
          <w:p>
            <w:r/>
            <w:r>
              <w:rPr>
                <w:b/>
                <w:color w:val="FFFFFF"/>
                <w:sz w:val="20"/>
              </w:rPr>
              <w:t>Level</w:t>
            </w:r>
          </w:p>
        </w:tc>
        <w:tc>
          <w:tcPr>
            <w:tcW w:type="dxa" w:w="1134"/>
            <w:shd w:val="clear" w:color="auto" w:fill="14507A"/>
          </w:tcPr>
          <w:p>
            <w:r/>
            <w:r>
              <w:rPr>
                <w:b/>
                <w:color w:val="FFFFFF"/>
                <w:sz w:val="20"/>
              </w:rPr>
              <w:t>Editable</w:t>
            </w:r>
          </w:p>
        </w:tc>
        <w:tc>
          <w:tcPr>
            <w:tcW w:type="dxa" w:w="1417"/>
            <w:shd w:val="clear" w:color="auto" w:fill="14507A"/>
          </w:tcPr>
          <w:p>
            <w:r/>
            <w:r>
              <w:rPr>
                <w:b/>
                <w:color w:val="FFFFFF"/>
                <w:sz w:val="20"/>
              </w:rPr>
              <w:t>Creation</w:t>
            </w:r>
          </w:p>
        </w:tc>
        <w:tc>
          <w:tcPr>
            <w:tcW w:type="dxa" w:w="3969"/>
            <w:shd w:val="clear" w:color="auto" w:fill="14507A"/>
          </w:tcPr>
          <w:p>
            <w:r/>
            <w:r>
              <w:rPr>
                <w:b/>
                <w:color w:val="FFFFFF"/>
                <w:sz w:val="20"/>
              </w:rPr>
              <w:t>Type / Range</w:t>
            </w:r>
          </w:p>
        </w:tc>
      </w:tr>
      <w:tr>
        <w:tc>
          <w:tcPr>
            <w:tcW w:type="dxa" w:w="3118"/>
          </w:tcPr>
          <w:p>
            <w:r/>
            <w:r>
              <w:rPr>
                <w:sz w:val="19"/>
              </w:rPr>
              <w:t>Supplier Part ID</w:t>
            </w:r>
          </w:p>
        </w:tc>
        <w:tc>
          <w:tcPr>
            <w:tcW w:type="dxa" w:w="1134"/>
          </w:tcPr>
          <w:p>
            <w:r/>
            <w:r>
              <w:rPr>
                <w:sz w:val="19"/>
              </w:rPr>
              <w:t>detail</w:t>
            </w:r>
          </w:p>
        </w:tc>
        <w:tc>
          <w:tcPr>
            <w:tcW w:type="dxa" w:w="1134"/>
          </w:tcPr>
          <w:p>
            <w:r/>
            <w:r>
              <w:rPr>
                <w:sz w:val="19"/>
              </w:rPr>
              <w:t>Yes</w:t>
            </w:r>
          </w:p>
        </w:tc>
        <w:tc>
          <w:tcPr>
            <w:tcW w:type="dxa" w:w="1417"/>
          </w:tcPr>
          <w:p>
            <w:r/>
            <w:r>
              <w:rPr>
                <w:sz w:val="19"/>
              </w:rPr>
              <w:t>Automatic</w:t>
            </w:r>
          </w:p>
        </w:tc>
        <w:tc>
          <w:tcPr>
            <w:tcW w:type="dxa" w:w="3969"/>
          </w:tcPr>
          <w:p>
            <w:r/>
            <w:r>
              <w:rPr>
                <w:sz w:val="19"/>
              </w:rPr>
              <w:t>—</w:t>
            </w:r>
          </w:p>
        </w:tc>
      </w:tr>
      <w:tr>
        <w:tc>
          <w:tcPr>
            <w:tcW w:type="dxa" w:w="3118"/>
            <w:shd w:val="clear" w:color="auto" w:fill="F4F8FB"/>
          </w:tcPr>
          <w:p>
            <w:r/>
            <w:r>
              <w:rPr>
                <w:sz w:val="19"/>
              </w:rPr>
              <w:t>Item Unit Price</w:t>
            </w:r>
          </w:p>
        </w:tc>
        <w:tc>
          <w:tcPr>
            <w:tcW w:type="dxa" w:w="1134"/>
            <w:shd w:val="clear" w:color="auto" w:fill="F4F8FB"/>
          </w:tcPr>
          <w:p>
            <w:r/>
            <w:r>
              <w:rPr>
                <w:sz w:val="19"/>
              </w:rPr>
              <w:t>detail</w:t>
            </w:r>
          </w:p>
        </w:tc>
        <w:tc>
          <w:tcPr>
            <w:tcW w:type="dxa" w:w="1134"/>
            <w:shd w:val="clear" w:color="auto" w:fill="F4F8FB"/>
          </w:tcPr>
          <w:p>
            <w:r/>
            <w:r>
              <w:rPr>
                <w:sz w:val="19"/>
              </w:rPr>
              <w:t>Yes</w:t>
            </w:r>
          </w:p>
        </w:tc>
        <w:tc>
          <w:tcPr>
            <w:tcW w:type="dxa" w:w="1417"/>
            <w:shd w:val="clear" w:color="auto" w:fill="F4F8FB"/>
          </w:tcPr>
          <w:p>
            <w:r/>
            <w:r>
              <w:rPr>
                <w:sz w:val="19"/>
              </w:rPr>
              <w:t>Automatic</w:t>
            </w:r>
          </w:p>
        </w:tc>
        <w:tc>
          <w:tcPr>
            <w:tcW w:type="dxa" w:w="3969"/>
            <w:shd w:val="clear" w:color="auto" w:fill="F4F8FB"/>
          </w:tcPr>
          <w:p>
            <w:r/>
            <w:r>
              <w:rPr>
                <w:sz w:val="19"/>
              </w:rPr>
              <w:t>—</w:t>
            </w:r>
          </w:p>
        </w:tc>
      </w:tr>
      <w:tr>
        <w:tc>
          <w:tcPr>
            <w:tcW w:type="dxa" w:w="3118"/>
          </w:tcPr>
          <w:p>
            <w:r/>
            <w:r>
              <w:rPr>
                <w:sz w:val="19"/>
              </w:rPr>
              <w:t>Item Unit of Measure</w:t>
            </w:r>
          </w:p>
        </w:tc>
        <w:tc>
          <w:tcPr>
            <w:tcW w:type="dxa" w:w="1134"/>
          </w:tcPr>
          <w:p>
            <w:r/>
            <w:r>
              <w:rPr>
                <w:sz w:val="19"/>
              </w:rPr>
              <w:t>detail</w:t>
            </w:r>
          </w:p>
        </w:tc>
        <w:tc>
          <w:tcPr>
            <w:tcW w:type="dxa" w:w="1134"/>
          </w:tcPr>
          <w:p>
            <w:r/>
            <w:r>
              <w:rPr>
                <w:sz w:val="19"/>
              </w:rPr>
              <w:t>Yes</w:t>
            </w:r>
          </w:p>
        </w:tc>
        <w:tc>
          <w:tcPr>
            <w:tcW w:type="dxa" w:w="1417"/>
          </w:tcPr>
          <w:p>
            <w:r/>
            <w:r>
              <w:rPr>
                <w:sz w:val="19"/>
              </w:rPr>
              <w:t>Automatic</w:t>
            </w:r>
          </w:p>
        </w:tc>
        <w:tc>
          <w:tcPr>
            <w:tcW w:type="dxa" w:w="3969"/>
          </w:tcPr>
          <w:p>
            <w:r/>
            <w:r>
              <w:rPr>
                <w:sz w:val="19"/>
              </w:rPr>
              <w:t>—</w:t>
            </w:r>
          </w:p>
        </w:tc>
      </w:tr>
      <w:tr>
        <w:tc>
          <w:tcPr>
            <w:tcW w:type="dxa" w:w="3118"/>
            <w:shd w:val="clear" w:color="auto" w:fill="F4F8FB"/>
          </w:tcPr>
          <w:p>
            <w:r/>
            <w:r>
              <w:rPr>
                <w:sz w:val="19"/>
              </w:rPr>
              <w:t>Item Quantity</w:t>
            </w:r>
          </w:p>
        </w:tc>
        <w:tc>
          <w:tcPr>
            <w:tcW w:type="dxa" w:w="1134"/>
            <w:shd w:val="clear" w:color="auto" w:fill="F4F8FB"/>
          </w:tcPr>
          <w:p>
            <w:r/>
            <w:r>
              <w:rPr>
                <w:sz w:val="19"/>
              </w:rPr>
              <w:t>detail</w:t>
            </w:r>
          </w:p>
        </w:tc>
        <w:tc>
          <w:tcPr>
            <w:tcW w:type="dxa" w:w="1134"/>
            <w:shd w:val="clear" w:color="auto" w:fill="F4F8FB"/>
          </w:tcPr>
          <w:p>
            <w:r/>
            <w:r>
              <w:rPr>
                <w:sz w:val="19"/>
              </w:rPr>
              <w:t>Yes</w:t>
            </w:r>
          </w:p>
        </w:tc>
        <w:tc>
          <w:tcPr>
            <w:tcW w:type="dxa" w:w="1417"/>
            <w:shd w:val="clear" w:color="auto" w:fill="F4F8FB"/>
          </w:tcPr>
          <w:p>
            <w:r/>
            <w:r>
              <w:rPr>
                <w:sz w:val="19"/>
              </w:rPr>
              <w:t>Automatic</w:t>
            </w:r>
          </w:p>
        </w:tc>
        <w:tc>
          <w:tcPr>
            <w:tcW w:type="dxa" w:w="3969"/>
            <w:shd w:val="clear" w:color="auto" w:fill="F4F8FB"/>
          </w:tcPr>
          <w:p>
            <w:r/>
            <w:r>
              <w:rPr>
                <w:sz w:val="19"/>
              </w:rPr>
              <w:t>—</w:t>
            </w:r>
          </w:p>
        </w:tc>
      </w:tr>
      <w:tr>
        <w:tc>
          <w:tcPr>
            <w:tcW w:type="dxa" w:w="3118"/>
          </w:tcPr>
          <w:p>
            <w:r/>
            <w:r>
              <w:rPr>
                <w:sz w:val="19"/>
              </w:rPr>
              <w:t>Item Description</w:t>
            </w:r>
          </w:p>
        </w:tc>
        <w:tc>
          <w:tcPr>
            <w:tcW w:type="dxa" w:w="1134"/>
          </w:tcPr>
          <w:p>
            <w:r/>
            <w:r>
              <w:rPr>
                <w:sz w:val="19"/>
              </w:rPr>
              <w:t>detail</w:t>
            </w:r>
          </w:p>
        </w:tc>
        <w:tc>
          <w:tcPr>
            <w:tcW w:type="dxa" w:w="1134"/>
          </w:tcPr>
          <w:p>
            <w:r/>
            <w:r>
              <w:rPr>
                <w:sz w:val="19"/>
              </w:rPr>
              <w:t>Yes</w:t>
            </w:r>
          </w:p>
        </w:tc>
        <w:tc>
          <w:tcPr>
            <w:tcW w:type="dxa" w:w="1417"/>
          </w:tcPr>
          <w:p>
            <w:r/>
            <w:r>
              <w:rPr>
                <w:sz w:val="19"/>
              </w:rPr>
              <w:t>Automatic</w:t>
            </w:r>
          </w:p>
        </w:tc>
        <w:tc>
          <w:tcPr>
            <w:tcW w:type="dxa" w:w="3969"/>
          </w:tcPr>
          <w:p>
            <w:r/>
            <w:r>
              <w:rPr>
                <w:sz w:val="19"/>
              </w:rPr>
              <w:t>List</w:t>
            </w:r>
          </w:p>
        </w:tc>
      </w:tr>
      <w:tr>
        <w:tc>
          <w:tcPr>
            <w:tcW w:type="dxa" w:w="3118"/>
            <w:shd w:val="clear" w:color="auto" w:fill="F4F8FB"/>
          </w:tcPr>
          <w:p>
            <w:r/>
            <w:r>
              <w:rPr>
                <w:sz w:val="19"/>
              </w:rPr>
              <w:t>Item Requested Delivery Date</w:t>
            </w:r>
          </w:p>
        </w:tc>
        <w:tc>
          <w:tcPr>
            <w:tcW w:type="dxa" w:w="1134"/>
            <w:shd w:val="clear" w:color="auto" w:fill="F4F8FB"/>
          </w:tcPr>
          <w:p>
            <w:r/>
            <w:r>
              <w:rPr>
                <w:sz w:val="19"/>
              </w:rPr>
              <w:t>detail</w:t>
            </w:r>
          </w:p>
        </w:tc>
        <w:tc>
          <w:tcPr>
            <w:tcW w:type="dxa" w:w="1134"/>
            <w:shd w:val="clear" w:color="auto" w:fill="F4F8FB"/>
          </w:tcPr>
          <w:p>
            <w:r/>
            <w:r>
              <w:rPr>
                <w:sz w:val="19"/>
              </w:rPr>
              <w:t>Yes</w:t>
            </w:r>
          </w:p>
        </w:tc>
        <w:tc>
          <w:tcPr>
            <w:tcW w:type="dxa" w:w="1417"/>
            <w:shd w:val="clear" w:color="auto" w:fill="F4F8FB"/>
          </w:tcPr>
          <w:p>
            <w:r/>
            <w:r>
              <w:rPr>
                <w:sz w:val="19"/>
              </w:rPr>
              <w:t>Automatic</w:t>
            </w:r>
          </w:p>
        </w:tc>
        <w:tc>
          <w:tcPr>
            <w:tcW w:type="dxa" w:w="3969"/>
            <w:shd w:val="clear" w:color="auto" w:fill="F4F8FB"/>
          </w:tcPr>
          <w:p>
            <w:r/>
            <w:r>
              <w:rPr>
                <w:sz w:val="19"/>
              </w:rPr>
              <w:t>Formula: TODAY()</w:t>
            </w:r>
          </w:p>
        </w:tc>
      </w:tr>
      <w:tr>
        <w:tc>
          <w:tcPr>
            <w:tcW w:type="dxa" w:w="3118"/>
          </w:tcPr>
          <w:p>
            <w:r/>
            <w:r>
              <w:rPr>
                <w:sz w:val="19"/>
              </w:rPr>
              <w:t>Buyer Part ID</w:t>
            </w:r>
          </w:p>
        </w:tc>
        <w:tc>
          <w:tcPr>
            <w:tcW w:type="dxa" w:w="1134"/>
          </w:tcPr>
          <w:p>
            <w:r/>
            <w:r>
              <w:rPr>
                <w:sz w:val="19"/>
              </w:rPr>
              <w:t>detail</w:t>
            </w:r>
          </w:p>
        </w:tc>
        <w:tc>
          <w:tcPr>
            <w:tcW w:type="dxa" w:w="1134"/>
          </w:tcPr>
          <w:p>
            <w:r/>
            <w:r>
              <w:rPr>
                <w:sz w:val="19"/>
              </w:rPr>
              <w:t>Yes</w:t>
            </w:r>
          </w:p>
        </w:tc>
        <w:tc>
          <w:tcPr>
            <w:tcW w:type="dxa" w:w="1417"/>
          </w:tcPr>
          <w:p>
            <w:r/>
            <w:r>
              <w:rPr>
                <w:sz w:val="19"/>
              </w:rPr>
              <w:t>Automatic</w:t>
            </w:r>
          </w:p>
        </w:tc>
        <w:tc>
          <w:tcPr>
            <w:tcW w:type="dxa" w:w="3969"/>
          </w:tcPr>
          <w:p>
            <w:r/>
            <w:r>
              <w:rPr>
                <w:sz w:val="19"/>
              </w:rPr>
              <w:t>—</w:t>
            </w:r>
          </w:p>
        </w:tc>
      </w:tr>
      <w:tr>
        <w:tc>
          <w:tcPr>
            <w:tcW w:type="dxa" w:w="3118"/>
            <w:shd w:val="clear" w:color="auto" w:fill="F4F8FB"/>
          </w:tcPr>
          <w:p>
            <w:r/>
            <w:r>
              <w:rPr>
                <w:sz w:val="19"/>
              </w:rPr>
              <w:t>Manufacture Part ID</w:t>
            </w:r>
          </w:p>
        </w:tc>
        <w:tc>
          <w:tcPr>
            <w:tcW w:type="dxa" w:w="1134"/>
            <w:shd w:val="clear" w:color="auto" w:fill="F4F8FB"/>
          </w:tcPr>
          <w:p>
            <w:r/>
            <w:r>
              <w:rPr>
                <w:sz w:val="19"/>
              </w:rPr>
              <w:t>detail</w:t>
            </w:r>
          </w:p>
        </w:tc>
        <w:tc>
          <w:tcPr>
            <w:tcW w:type="dxa" w:w="1134"/>
            <w:shd w:val="clear" w:color="auto" w:fill="F4F8FB"/>
          </w:tcPr>
          <w:p>
            <w:r/>
            <w:r>
              <w:rPr>
                <w:sz w:val="19"/>
              </w:rPr>
              <w:t>Yes</w:t>
            </w:r>
          </w:p>
        </w:tc>
        <w:tc>
          <w:tcPr>
            <w:tcW w:type="dxa" w:w="1417"/>
            <w:shd w:val="clear" w:color="auto" w:fill="F4F8FB"/>
          </w:tcPr>
          <w:p>
            <w:r/>
            <w:r>
              <w:rPr>
                <w:sz w:val="19"/>
              </w:rPr>
              <w:t>Automatic</w:t>
            </w:r>
          </w:p>
        </w:tc>
        <w:tc>
          <w:tcPr>
            <w:tcW w:type="dxa" w:w="3969"/>
            <w:shd w:val="clear" w:color="auto" w:fill="F4F8FB"/>
          </w:tcPr>
          <w:p>
            <w:r/>
            <w:r>
              <w:rPr>
                <w:sz w:val="19"/>
              </w:rPr>
              <w:t>—</w:t>
            </w:r>
          </w:p>
        </w:tc>
      </w:tr>
      <w:tr>
        <w:tc>
          <w:tcPr>
            <w:tcW w:type="dxa" w:w="3118"/>
          </w:tcPr>
          <w:p>
            <w:r/>
            <w:r>
              <w:rPr>
                <w:sz w:val="19"/>
              </w:rPr>
              <w:t>Manufacture Name</w:t>
            </w:r>
          </w:p>
        </w:tc>
        <w:tc>
          <w:tcPr>
            <w:tcW w:type="dxa" w:w="1134"/>
          </w:tcPr>
          <w:p>
            <w:r/>
            <w:r>
              <w:rPr>
                <w:sz w:val="19"/>
              </w:rPr>
              <w:t>detail</w:t>
            </w:r>
          </w:p>
        </w:tc>
        <w:tc>
          <w:tcPr>
            <w:tcW w:type="dxa" w:w="1134"/>
          </w:tcPr>
          <w:p>
            <w:r/>
            <w:r>
              <w:rPr>
                <w:sz w:val="19"/>
              </w:rPr>
              <w:t>Yes</w:t>
            </w:r>
          </w:p>
        </w:tc>
        <w:tc>
          <w:tcPr>
            <w:tcW w:type="dxa" w:w="1417"/>
          </w:tcPr>
          <w:p>
            <w:r/>
            <w:r>
              <w:rPr>
                <w:sz w:val="19"/>
              </w:rPr>
              <w:t>Automatic</w:t>
            </w:r>
          </w:p>
        </w:tc>
        <w:tc>
          <w:tcPr>
            <w:tcW w:type="dxa" w:w="3969"/>
          </w:tcPr>
          <w:p>
            <w:r/>
            <w:r>
              <w:rPr>
                <w:sz w:val="19"/>
              </w:rPr>
              <w:t>—</w:t>
            </w:r>
          </w:p>
        </w:tc>
      </w:tr>
      <w:tr>
        <w:tc>
          <w:tcPr>
            <w:tcW w:type="dxa" w:w="3118"/>
            <w:shd w:val="clear" w:color="auto" w:fill="F4F8FB"/>
          </w:tcPr>
          <w:p>
            <w:r/>
            <w:r>
              <w:rPr>
                <w:sz w:val="19"/>
              </w:rPr>
              <w:t>OrderHeader Ship-To Address</w:t>
            </w:r>
          </w:p>
        </w:tc>
        <w:tc>
          <w:tcPr>
            <w:tcW w:type="dxa" w:w="1134"/>
            <w:shd w:val="clear" w:color="auto" w:fill="F4F8FB"/>
          </w:tcPr>
          <w:p>
            <w:r/>
            <w:r>
              <w:rPr>
                <w:sz w:val="19"/>
              </w:rPr>
              <w:t>header</w:t>
            </w:r>
          </w:p>
        </w:tc>
        <w:tc>
          <w:tcPr>
            <w:tcW w:type="dxa" w:w="1134"/>
            <w:shd w:val="clear" w:color="auto" w:fill="F4F8FB"/>
          </w:tcPr>
          <w:p>
            <w:r/>
            <w:r>
              <w:rPr>
                <w:sz w:val="19"/>
              </w:rPr>
              <w:t>Yes</w:t>
            </w:r>
          </w:p>
        </w:tc>
        <w:tc>
          <w:tcPr>
            <w:tcW w:type="dxa" w:w="1417"/>
            <w:shd w:val="clear" w:color="auto" w:fill="F4F8FB"/>
          </w:tcPr>
          <w:p>
            <w:r/>
            <w:r>
              <w:rPr>
                <w:sz w:val="19"/>
              </w:rPr>
              <w:t>Automatic</w:t>
            </w:r>
          </w:p>
        </w:tc>
        <w:tc>
          <w:tcPr>
            <w:tcW w:type="dxa" w:w="3969"/>
            <w:shd w:val="clear" w:color="auto" w:fill="F4F8FB"/>
          </w:tcPr>
          <w:p>
            <w:r/>
            <w:r>
              <w:rPr>
                <w:sz w:val="19"/>
              </w:rPr>
              <w:t>—</w:t>
            </w:r>
          </w:p>
        </w:tc>
      </w:tr>
      <w:tr>
        <w:tc>
          <w:tcPr>
            <w:tcW w:type="dxa" w:w="3118"/>
          </w:tcPr>
          <w:p>
            <w:r/>
            <w:r>
              <w:rPr>
                <w:sz w:val="19"/>
              </w:rPr>
              <w:t>OrderHeader Bill-To Address</w:t>
            </w:r>
          </w:p>
        </w:tc>
        <w:tc>
          <w:tcPr>
            <w:tcW w:type="dxa" w:w="1134"/>
          </w:tcPr>
          <w:p>
            <w:r/>
            <w:r>
              <w:rPr>
                <w:sz w:val="19"/>
              </w:rPr>
              <w:t>header</w:t>
            </w:r>
          </w:p>
        </w:tc>
        <w:tc>
          <w:tcPr>
            <w:tcW w:type="dxa" w:w="1134"/>
          </w:tcPr>
          <w:p>
            <w:r/>
            <w:r>
              <w:rPr>
                <w:sz w:val="19"/>
              </w:rPr>
              <w:t>Yes</w:t>
            </w:r>
          </w:p>
        </w:tc>
        <w:tc>
          <w:tcPr>
            <w:tcW w:type="dxa" w:w="1417"/>
          </w:tcPr>
          <w:p>
            <w:r/>
            <w:r>
              <w:rPr>
                <w:sz w:val="19"/>
              </w:rPr>
              <w:t>Automatic</w:t>
            </w:r>
          </w:p>
        </w:tc>
        <w:tc>
          <w:tcPr>
            <w:tcW w:type="dxa" w:w="3969"/>
          </w:tcPr>
          <w:p>
            <w:r/>
            <w:r>
              <w:rPr>
                <w:sz w:val="19"/>
              </w:rPr>
              <w:t>—</w:t>
            </w:r>
          </w:p>
        </w:tc>
      </w:tr>
      <w:tr>
        <w:tc>
          <w:tcPr>
            <w:tcW w:type="dxa" w:w="3118"/>
            <w:shd w:val="clear" w:color="auto" w:fill="F4F8FB"/>
          </w:tcPr>
          <w:p>
            <w:r/>
            <w:r>
              <w:rPr>
                <w:sz w:val="19"/>
              </w:rPr>
              <w:t>Incoterm</w:t>
            </w:r>
          </w:p>
        </w:tc>
        <w:tc>
          <w:tcPr>
            <w:tcW w:type="dxa" w:w="1134"/>
            <w:shd w:val="clear" w:color="auto" w:fill="F4F8FB"/>
          </w:tcPr>
          <w:p>
            <w:r/>
            <w:r>
              <w:rPr>
                <w:sz w:val="19"/>
              </w:rPr>
              <w:t>header</w:t>
            </w:r>
          </w:p>
        </w:tc>
        <w:tc>
          <w:tcPr>
            <w:tcW w:type="dxa" w:w="1134"/>
            <w:shd w:val="clear" w:color="auto" w:fill="F4F8FB"/>
          </w:tcPr>
          <w:p>
            <w:r/>
            <w:r>
              <w:rPr>
                <w:sz w:val="19"/>
              </w:rPr>
              <w:t>No</w:t>
            </w:r>
          </w:p>
        </w:tc>
        <w:tc>
          <w:tcPr>
            <w:tcW w:type="dxa" w:w="1417"/>
            <w:shd w:val="clear" w:color="auto" w:fill="F4F8FB"/>
          </w:tcPr>
          <w:p>
            <w:r/>
            <w:r>
              <w:rPr>
                <w:sz w:val="19"/>
              </w:rPr>
              <w:t>Manual</w:t>
            </w:r>
          </w:p>
        </w:tc>
        <w:tc>
          <w:tcPr>
            <w:tcW w:type="dxa" w:w="3969"/>
            <w:shd w:val="clear" w:color="auto" w:fill="F4F8FB"/>
          </w:tcPr>
          <w:p>
            <w:r/>
            <w:r>
              <w:rPr>
                <w:sz w:val="19"/>
              </w:rPr>
              <w:t>—</w:t>
            </w:r>
          </w:p>
        </w:tc>
      </w:tr>
      <w:tr>
        <w:tc>
          <w:tcPr>
            <w:tcW w:type="dxa" w:w="3118"/>
          </w:tcPr>
          <w:p>
            <w:r/>
            <w:r>
              <w:rPr>
                <w:sz w:val="19"/>
              </w:rPr>
              <w:t>orderID</w:t>
            </w:r>
          </w:p>
        </w:tc>
        <w:tc>
          <w:tcPr>
            <w:tcW w:type="dxa" w:w="1134"/>
          </w:tcPr>
          <w:p>
            <w:r/>
            <w:r>
              <w:rPr>
                <w:sz w:val="19"/>
              </w:rPr>
              <w:t>header</w:t>
            </w:r>
          </w:p>
        </w:tc>
        <w:tc>
          <w:tcPr>
            <w:tcW w:type="dxa" w:w="1134"/>
          </w:tcPr>
          <w:p>
            <w:r/>
            <w:r>
              <w:rPr>
                <w:sz w:val="19"/>
              </w:rPr>
              <w:t>Yes</w:t>
            </w:r>
          </w:p>
        </w:tc>
        <w:tc>
          <w:tcPr>
            <w:tcW w:type="dxa" w:w="1417"/>
          </w:tcPr>
          <w:p>
            <w:r/>
            <w:r>
              <w:rPr>
                <w:sz w:val="19"/>
              </w:rPr>
              <w:t>Automatic</w:t>
            </w:r>
          </w:p>
        </w:tc>
        <w:tc>
          <w:tcPr>
            <w:tcW w:type="dxa" w:w="3969"/>
          </w:tcPr>
          <w:p>
            <w:r/>
            <w:r>
              <w:rPr>
                <w:sz w:val="19"/>
              </w:rPr>
              <w:t>Random 1–10 · Auto 4500000001 → 4500001234 inc 1 (last 4500000003)</w:t>
            </w:r>
          </w:p>
        </w:tc>
      </w:tr>
      <w:tr>
        <w:tc>
          <w:tcPr>
            <w:tcW w:type="dxa" w:w="3118"/>
            <w:shd w:val="clear" w:color="auto" w:fill="F4F8FB"/>
          </w:tcPr>
          <w:p>
            <w:r/>
            <w:r>
              <w:rPr>
                <w:sz w:val="19"/>
              </w:rPr>
              <w:t>lineNumber</w:t>
            </w:r>
          </w:p>
        </w:tc>
        <w:tc>
          <w:tcPr>
            <w:tcW w:type="dxa" w:w="1134"/>
            <w:shd w:val="clear" w:color="auto" w:fill="F4F8FB"/>
          </w:tcPr>
          <w:p>
            <w:r/>
            <w:r>
              <w:rPr>
                <w:sz w:val="19"/>
              </w:rPr>
              <w:t>detail</w:t>
            </w:r>
          </w:p>
        </w:tc>
        <w:tc>
          <w:tcPr>
            <w:tcW w:type="dxa" w:w="1134"/>
            <w:shd w:val="clear" w:color="auto" w:fill="F4F8FB"/>
          </w:tcPr>
          <w:p>
            <w:r/>
            <w:r>
              <w:rPr>
                <w:sz w:val="19"/>
              </w:rPr>
              <w:t>Yes</w:t>
            </w:r>
          </w:p>
        </w:tc>
        <w:tc>
          <w:tcPr>
            <w:tcW w:type="dxa" w:w="1417"/>
            <w:shd w:val="clear" w:color="auto" w:fill="F4F8FB"/>
          </w:tcPr>
          <w:p>
            <w:r/>
            <w:r>
              <w:rPr>
                <w:sz w:val="19"/>
              </w:rPr>
              <w:t>—</w:t>
            </w:r>
          </w:p>
        </w:tc>
        <w:tc>
          <w:tcPr>
            <w:tcW w:type="dxa" w:w="3969"/>
            <w:shd w:val="clear" w:color="auto" w:fill="F4F8FB"/>
          </w:tcPr>
          <w:p>
            <w:r/>
            <w:r>
              <w:rPr>
                <w:sz w:val="19"/>
              </w:rPr>
              <w:t>—</w:t>
            </w:r>
          </w:p>
        </w:tc>
      </w:tr>
    </w:tbl>
    <w:p>
      <w:pPr>
        <w:pStyle w:val="Heading2"/>
      </w:pPr>
      <w:r>
        <w:rPr>
          <w:rFonts w:ascii="Calibri" w:hAnsi="Calibri"/>
          <w:color w:val="145078"/>
        </w:rPr>
        <w:t>4.2 Extension per Mode 3b — scenario-required fields</w:t>
      </w:r>
    </w:p>
    <w:p>
      <w:pPr>
        <w:spacing w:after="80"/>
      </w:pPr>
      <w:r>
        <w:rPr>
          <w:b w:val="0"/>
          <w:i w:val="0"/>
        </w:rPr>
        <w:t>Roughly 20 of the 35 scenarios require mutating fields outside the original 14. The Planner needs access to a wider mutation policy to satisfy them. The proposed extension table below covers the gap. It is stored alongside the original in modifiable-fields.json under a separate "scenarioRequired" namespace so the original CIG-editable subset stays auditable.</w:t>
      </w:r>
    </w:p>
    <w:tbl>
      <w:tblPr>
        <w:tblStyle w:val="LightGrid-Accent1"/>
        <w:tblW w:type="auto" w:w="0"/>
        <w:tblLayout w:type="fixed"/>
        <w:tblLook w:firstColumn="1" w:firstRow="1" w:lastColumn="0" w:lastRow="0" w:noHBand="0" w:noVBand="1" w:val="04A0"/>
      </w:tblPr>
      <w:tblGrid>
        <w:gridCol w:w="2466"/>
        <w:gridCol w:w="2466"/>
        <w:gridCol w:w="2466"/>
        <w:gridCol w:w="2466"/>
      </w:tblGrid>
      <w:tr>
        <w:tc>
          <w:tcPr>
            <w:tcW w:type="dxa" w:w="3685"/>
            <w:shd w:val="clear" w:color="auto" w:fill="14507A"/>
          </w:tcPr>
          <w:p>
            <w:r/>
            <w:r>
              <w:rPr>
                <w:b/>
                <w:color w:val="FFFFFF"/>
                <w:sz w:val="20"/>
              </w:rPr>
              <w:t>Extended field</w:t>
            </w:r>
          </w:p>
        </w:tc>
        <w:tc>
          <w:tcPr>
            <w:tcW w:type="dxa" w:w="1417"/>
            <w:shd w:val="clear" w:color="auto" w:fill="14507A"/>
          </w:tcPr>
          <w:p>
            <w:r/>
            <w:r>
              <w:rPr>
                <w:b/>
                <w:color w:val="FFFFFF"/>
                <w:sz w:val="20"/>
              </w:rPr>
              <w:t>Level</w:t>
            </w:r>
          </w:p>
        </w:tc>
        <w:tc>
          <w:tcPr>
            <w:tcW w:type="dxa" w:w="2268"/>
            <w:shd w:val="clear" w:color="auto" w:fill="14507A"/>
          </w:tcPr>
          <w:p>
            <w:r/>
            <w:r>
              <w:rPr>
                <w:b/>
                <w:color w:val="FFFFFF"/>
                <w:sz w:val="20"/>
              </w:rPr>
              <w:t>Type</w:t>
            </w:r>
          </w:p>
        </w:tc>
        <w:tc>
          <w:tcPr>
            <w:tcW w:type="dxa" w:w="3402"/>
            <w:shd w:val="clear" w:color="auto" w:fill="14507A"/>
          </w:tcPr>
          <w:p>
            <w:r/>
            <w:r>
              <w:rPr>
                <w:b/>
                <w:color w:val="FFFFFF"/>
                <w:sz w:val="20"/>
              </w:rPr>
              <w:t>Used by scenario(s)</w:t>
            </w:r>
          </w:p>
        </w:tc>
      </w:tr>
      <w:tr>
        <w:tc>
          <w:tcPr>
            <w:tcW w:type="dxa" w:w="3685"/>
          </w:tcPr>
          <w:p>
            <w:r/>
            <w:r>
              <w:rPr>
                <w:sz w:val="19"/>
              </w:rPr>
              <w:t>OrderRequestHeader/@type</w:t>
            </w:r>
          </w:p>
        </w:tc>
        <w:tc>
          <w:tcPr>
            <w:tcW w:type="dxa" w:w="1417"/>
          </w:tcPr>
          <w:p>
            <w:r/>
            <w:r>
              <w:rPr>
                <w:sz w:val="19"/>
              </w:rPr>
              <w:t>header</w:t>
            </w:r>
          </w:p>
        </w:tc>
        <w:tc>
          <w:tcPr>
            <w:tcW w:type="dxa" w:w="2268"/>
          </w:tcPr>
          <w:p>
            <w:r/>
            <w:r>
              <w:rPr>
                <w:sz w:val="19"/>
              </w:rPr>
              <w:t>list[new|update|delete]</w:t>
            </w:r>
          </w:p>
        </w:tc>
        <w:tc>
          <w:tcPr>
            <w:tcW w:type="dxa" w:w="3402"/>
          </w:tcPr>
          <w:p>
            <w:r/>
            <w:r>
              <w:rPr>
                <w:sz w:val="19"/>
              </w:rPr>
              <w:t>4 Change Order · 5 Cancellation</w:t>
            </w:r>
          </w:p>
        </w:tc>
      </w:tr>
      <w:tr>
        <w:tc>
          <w:tcPr>
            <w:tcW w:type="dxa" w:w="3685"/>
            <w:shd w:val="clear" w:color="auto" w:fill="F4F8FB"/>
          </w:tcPr>
          <w:p>
            <w:r/>
            <w:r>
              <w:rPr>
                <w:sz w:val="19"/>
              </w:rPr>
              <w:t>OrderRequestHeader/@agreementID</w:t>
            </w:r>
          </w:p>
        </w:tc>
        <w:tc>
          <w:tcPr>
            <w:tcW w:type="dxa" w:w="1417"/>
            <w:shd w:val="clear" w:color="auto" w:fill="F4F8FB"/>
          </w:tcPr>
          <w:p>
            <w:r/>
            <w:r>
              <w:rPr>
                <w:sz w:val="19"/>
              </w:rPr>
              <w:t>header</w:t>
            </w:r>
          </w:p>
        </w:tc>
        <w:tc>
          <w:tcPr>
            <w:tcW w:type="dxa" w:w="2268"/>
            <w:shd w:val="clear" w:color="auto" w:fill="F4F8FB"/>
          </w:tcPr>
          <w:p>
            <w:r/>
            <w:r>
              <w:rPr>
                <w:sz w:val="19"/>
              </w:rPr>
              <w:t>static</w:t>
            </w:r>
          </w:p>
        </w:tc>
        <w:tc>
          <w:tcPr>
            <w:tcW w:type="dxa" w:w="3402"/>
            <w:shd w:val="clear" w:color="auto" w:fill="F4F8FB"/>
          </w:tcPr>
          <w:p>
            <w:r/>
            <w:r>
              <w:rPr>
                <w:sz w:val="19"/>
              </w:rPr>
              <w:t>2 Blanket PO · 3 BPO Release</w:t>
            </w:r>
          </w:p>
        </w:tc>
      </w:tr>
      <w:tr>
        <w:tc>
          <w:tcPr>
            <w:tcW w:type="dxa" w:w="3685"/>
          </w:tcPr>
          <w:p>
            <w:r/>
            <w:r>
              <w:rPr>
                <w:sz w:val="19"/>
              </w:rPr>
              <w:t>MasterAgreementIDInfo/@agreementID</w:t>
            </w:r>
          </w:p>
        </w:tc>
        <w:tc>
          <w:tcPr>
            <w:tcW w:type="dxa" w:w="1417"/>
          </w:tcPr>
          <w:p>
            <w:r/>
            <w:r>
              <w:rPr>
                <w:sz w:val="19"/>
              </w:rPr>
              <w:t>header</w:t>
            </w:r>
          </w:p>
        </w:tc>
        <w:tc>
          <w:tcPr>
            <w:tcW w:type="dxa" w:w="2268"/>
          </w:tcPr>
          <w:p>
            <w:r/>
            <w:r>
              <w:rPr>
                <w:sz w:val="19"/>
              </w:rPr>
              <w:t>static</w:t>
            </w:r>
          </w:p>
        </w:tc>
        <w:tc>
          <w:tcPr>
            <w:tcW w:type="dxa" w:w="3402"/>
          </w:tcPr>
          <w:p>
            <w:r/>
            <w:r>
              <w:rPr>
                <w:sz w:val="19"/>
              </w:rPr>
              <w:t>3 BPO Release</w:t>
            </w:r>
          </w:p>
        </w:tc>
      </w:tr>
      <w:tr>
        <w:tc>
          <w:tcPr>
            <w:tcW w:type="dxa" w:w="3685"/>
            <w:shd w:val="clear" w:color="auto" w:fill="F4F8FB"/>
          </w:tcPr>
          <w:p>
            <w:r/>
            <w:r>
              <w:rPr>
                <w:sz w:val="19"/>
              </w:rPr>
              <w:t>Money/@currency</w:t>
            </w:r>
          </w:p>
        </w:tc>
        <w:tc>
          <w:tcPr>
            <w:tcW w:type="dxa" w:w="1417"/>
            <w:shd w:val="clear" w:color="auto" w:fill="F4F8FB"/>
          </w:tcPr>
          <w:p>
            <w:r/>
            <w:r>
              <w:rPr>
                <w:sz w:val="19"/>
              </w:rPr>
              <w:t>header/detail</w:t>
            </w:r>
          </w:p>
        </w:tc>
        <w:tc>
          <w:tcPr>
            <w:tcW w:type="dxa" w:w="2268"/>
            <w:shd w:val="clear" w:color="auto" w:fill="F4F8FB"/>
          </w:tcPr>
          <w:p>
            <w:r/>
            <w:r>
              <w:rPr>
                <w:sz w:val="19"/>
              </w:rPr>
              <w:t>list[USD|EUR|GBP|JPY|...]</w:t>
            </w:r>
          </w:p>
        </w:tc>
        <w:tc>
          <w:tcPr>
            <w:tcW w:type="dxa" w:w="3402"/>
            <w:shd w:val="clear" w:color="auto" w:fill="F4F8FB"/>
          </w:tcPr>
          <w:p>
            <w:r/>
            <w:r>
              <w:rPr>
                <w:sz w:val="19"/>
              </w:rPr>
              <w:t>8 Multi-Currency</w:t>
            </w:r>
          </w:p>
        </w:tc>
      </w:tr>
      <w:tr>
        <w:tc>
          <w:tcPr>
            <w:tcW w:type="dxa" w:w="3685"/>
          </w:tcPr>
          <w:p>
            <w:r/>
            <w:r>
              <w:rPr>
                <w:sz w:val="19"/>
              </w:rPr>
              <w:t>Tax / TaxDetail</w:t>
            </w:r>
          </w:p>
        </w:tc>
        <w:tc>
          <w:tcPr>
            <w:tcW w:type="dxa" w:w="1417"/>
          </w:tcPr>
          <w:p>
            <w:r/>
            <w:r>
              <w:rPr>
                <w:sz w:val="19"/>
              </w:rPr>
              <w:t>header/detail</w:t>
            </w:r>
          </w:p>
        </w:tc>
        <w:tc>
          <w:tcPr>
            <w:tcW w:type="dxa" w:w="2268"/>
          </w:tcPr>
          <w:p>
            <w:r/>
            <w:r>
              <w:rPr>
                <w:sz w:val="19"/>
              </w:rPr>
              <w:t>splice</w:t>
            </w:r>
          </w:p>
        </w:tc>
        <w:tc>
          <w:tcPr>
            <w:tcW w:type="dxa" w:w="3402"/>
          </w:tcPr>
          <w:p>
            <w:r/>
            <w:r>
              <w:rPr>
                <w:sz w:val="19"/>
              </w:rPr>
              <w:t>9 Tax-Inclusive</w:t>
            </w:r>
          </w:p>
        </w:tc>
      </w:tr>
      <w:tr>
        <w:tc>
          <w:tcPr>
            <w:tcW w:type="dxa" w:w="3685"/>
            <w:shd w:val="clear" w:color="auto" w:fill="F4F8FB"/>
          </w:tcPr>
          <w:p>
            <w:r/>
            <w:r>
              <w:rPr>
                <w:sz w:val="19"/>
              </w:rPr>
              <w:t>ShippingTerm / TransportInformation</w:t>
            </w:r>
          </w:p>
        </w:tc>
        <w:tc>
          <w:tcPr>
            <w:tcW w:type="dxa" w:w="1417"/>
            <w:shd w:val="clear" w:color="auto" w:fill="F4F8FB"/>
          </w:tcPr>
          <w:p>
            <w:r/>
            <w:r>
              <w:rPr>
                <w:sz w:val="19"/>
              </w:rPr>
              <w:t>header</w:t>
            </w:r>
          </w:p>
        </w:tc>
        <w:tc>
          <w:tcPr>
            <w:tcW w:type="dxa" w:w="2268"/>
            <w:shd w:val="clear" w:color="auto" w:fill="F4F8FB"/>
          </w:tcPr>
          <w:p>
            <w:r/>
            <w:r>
              <w:rPr>
                <w:sz w:val="19"/>
              </w:rPr>
              <w:t>splice</w:t>
            </w:r>
          </w:p>
        </w:tc>
        <w:tc>
          <w:tcPr>
            <w:tcW w:type="dxa" w:w="3402"/>
            <w:shd w:val="clear" w:color="auto" w:fill="F4F8FB"/>
          </w:tcPr>
          <w:p>
            <w:r/>
            <w:r>
              <w:rPr>
                <w:sz w:val="19"/>
              </w:rPr>
              <w:t>10 Shipping Terms</w:t>
            </w:r>
          </w:p>
        </w:tc>
      </w:tr>
      <w:tr>
        <w:tc>
          <w:tcPr>
            <w:tcW w:type="dxa" w:w="3685"/>
          </w:tcPr>
          <w:p>
            <w:r/>
            <w:r>
              <w:rPr>
                <w:sz w:val="19"/>
              </w:rPr>
              <w:t>Extrinsic[@name=Priority]</w:t>
            </w:r>
          </w:p>
        </w:tc>
        <w:tc>
          <w:tcPr>
            <w:tcW w:type="dxa" w:w="1417"/>
          </w:tcPr>
          <w:p>
            <w:r/>
            <w:r>
              <w:rPr>
                <w:sz w:val="19"/>
              </w:rPr>
              <w:t>header</w:t>
            </w:r>
          </w:p>
        </w:tc>
        <w:tc>
          <w:tcPr>
            <w:tcW w:type="dxa" w:w="2268"/>
          </w:tcPr>
          <w:p>
            <w:r/>
            <w:r>
              <w:rPr>
                <w:sz w:val="19"/>
              </w:rPr>
              <w:t>list[Urgent|Rush|Normal]</w:t>
            </w:r>
          </w:p>
        </w:tc>
        <w:tc>
          <w:tcPr>
            <w:tcW w:type="dxa" w:w="3402"/>
          </w:tcPr>
          <w:p>
            <w:r/>
            <w:r>
              <w:rPr>
                <w:sz w:val="19"/>
              </w:rPr>
              <w:t>7 Rush/Urgent</w:t>
            </w:r>
          </w:p>
        </w:tc>
      </w:tr>
      <w:tr>
        <w:tc>
          <w:tcPr>
            <w:tcW w:type="dxa" w:w="3685"/>
            <w:shd w:val="clear" w:color="auto" w:fill="F4F8FB"/>
          </w:tcPr>
          <w:p>
            <w:r/>
            <w:r>
              <w:rPr>
                <w:sz w:val="19"/>
              </w:rPr>
              <w:t>Classification[@domain=UNSPSC]</w:t>
            </w:r>
          </w:p>
        </w:tc>
        <w:tc>
          <w:tcPr>
            <w:tcW w:type="dxa" w:w="1417"/>
            <w:shd w:val="clear" w:color="auto" w:fill="F4F8FB"/>
          </w:tcPr>
          <w:p>
            <w:r/>
            <w:r>
              <w:rPr>
                <w:sz w:val="19"/>
              </w:rPr>
              <w:t>detail</w:t>
            </w:r>
          </w:p>
        </w:tc>
        <w:tc>
          <w:tcPr>
            <w:tcW w:type="dxa" w:w="2268"/>
            <w:shd w:val="clear" w:color="auto" w:fill="F4F8FB"/>
          </w:tcPr>
          <w:p>
            <w:r/>
            <w:r>
              <w:rPr>
                <w:sz w:val="19"/>
              </w:rPr>
              <w:t>list</w:t>
            </w:r>
          </w:p>
        </w:tc>
        <w:tc>
          <w:tcPr>
            <w:tcW w:type="dxa" w:w="3402"/>
            <w:shd w:val="clear" w:color="auto" w:fill="F4F8FB"/>
          </w:tcPr>
          <w:p>
            <w:r/>
            <w:r>
              <w:rPr>
                <w:sz w:val="19"/>
              </w:rPr>
              <w:t>13 Service Line</w:t>
            </w:r>
          </w:p>
        </w:tc>
      </w:tr>
      <w:tr>
        <w:tc>
          <w:tcPr>
            <w:tcW w:type="dxa" w:w="3685"/>
          </w:tcPr>
          <w:p>
            <w:r/>
            <w:r>
              <w:rPr>
                <w:sz w:val="19"/>
              </w:rPr>
              <w:t>ItemOut/@itemClassification</w:t>
            </w:r>
          </w:p>
        </w:tc>
        <w:tc>
          <w:tcPr>
            <w:tcW w:type="dxa" w:w="1417"/>
          </w:tcPr>
          <w:p>
            <w:r/>
            <w:r>
              <w:rPr>
                <w:sz w:val="19"/>
              </w:rPr>
              <w:t>detail</w:t>
            </w:r>
          </w:p>
        </w:tc>
        <w:tc>
          <w:tcPr>
            <w:tcW w:type="dxa" w:w="2268"/>
          </w:tcPr>
          <w:p>
            <w:r/>
            <w:r>
              <w:rPr>
                <w:sz w:val="19"/>
              </w:rPr>
              <w:t>list[PunchoutItem|custom]</w:t>
            </w:r>
          </w:p>
        </w:tc>
        <w:tc>
          <w:tcPr>
            <w:tcW w:type="dxa" w:w="3402"/>
          </w:tcPr>
          <w:p>
            <w:r/>
            <w:r>
              <w:rPr>
                <w:sz w:val="19"/>
              </w:rPr>
              <w:t>14 Catalog · 15 Free-Text</w:t>
            </w:r>
          </w:p>
        </w:tc>
      </w:tr>
      <w:tr>
        <w:tc>
          <w:tcPr>
            <w:tcW w:type="dxa" w:w="3685"/>
            <w:shd w:val="clear" w:color="auto" w:fill="F4F8FB"/>
          </w:tcPr>
          <w:p>
            <w:r/>
            <w:r>
              <w:rPr>
                <w:sz w:val="19"/>
              </w:rPr>
              <w:t>ItemDetail/ComponentGroup</w:t>
            </w:r>
          </w:p>
        </w:tc>
        <w:tc>
          <w:tcPr>
            <w:tcW w:type="dxa" w:w="1417"/>
            <w:shd w:val="clear" w:color="auto" w:fill="F4F8FB"/>
          </w:tcPr>
          <w:p>
            <w:r/>
            <w:r>
              <w:rPr>
                <w:sz w:val="19"/>
              </w:rPr>
              <w:t>detail</w:t>
            </w:r>
          </w:p>
        </w:tc>
        <w:tc>
          <w:tcPr>
            <w:tcW w:type="dxa" w:w="2268"/>
            <w:shd w:val="clear" w:color="auto" w:fill="F4F8FB"/>
          </w:tcPr>
          <w:p>
            <w:r/>
            <w:r>
              <w:rPr>
                <w:sz w:val="19"/>
              </w:rPr>
              <w:t>splice</w:t>
            </w:r>
          </w:p>
        </w:tc>
        <w:tc>
          <w:tcPr>
            <w:tcW w:type="dxa" w:w="3402"/>
            <w:shd w:val="clear" w:color="auto" w:fill="F4F8FB"/>
          </w:tcPr>
          <w:p>
            <w:r/>
            <w:r>
              <w:rPr>
                <w:sz w:val="19"/>
              </w:rPr>
              <w:t>16 Subcontracting · 18 BOM</w:t>
            </w:r>
          </w:p>
        </w:tc>
      </w:tr>
      <w:tr>
        <w:tc>
          <w:tcPr>
            <w:tcW w:type="dxa" w:w="3685"/>
          </w:tcPr>
          <w:p>
            <w:r/>
            <w:r>
              <w:rPr>
                <w:sz w:val="19"/>
              </w:rPr>
              <w:t>Extrinsic[@name=ConsignmentIndicator]</w:t>
            </w:r>
          </w:p>
        </w:tc>
        <w:tc>
          <w:tcPr>
            <w:tcW w:type="dxa" w:w="1417"/>
          </w:tcPr>
          <w:p>
            <w:r/>
            <w:r>
              <w:rPr>
                <w:sz w:val="19"/>
              </w:rPr>
              <w:t>detail</w:t>
            </w:r>
          </w:p>
        </w:tc>
        <w:tc>
          <w:tcPr>
            <w:tcW w:type="dxa" w:w="2268"/>
          </w:tcPr>
          <w:p>
            <w:r/>
            <w:r>
              <w:rPr>
                <w:sz w:val="19"/>
              </w:rPr>
              <w:t>static</w:t>
            </w:r>
          </w:p>
        </w:tc>
        <w:tc>
          <w:tcPr>
            <w:tcW w:type="dxa" w:w="3402"/>
          </w:tcPr>
          <w:p>
            <w:r/>
            <w:r>
              <w:rPr>
                <w:sz w:val="19"/>
              </w:rPr>
              <w:t>17 Consignment</w:t>
            </w:r>
          </w:p>
        </w:tc>
      </w:tr>
      <w:tr>
        <w:tc>
          <w:tcPr>
            <w:tcW w:type="dxa" w:w="3685"/>
            <w:shd w:val="clear" w:color="auto" w:fill="F4F8FB"/>
          </w:tcPr>
          <w:p>
            <w:r/>
            <w:r>
              <w:rPr>
                <w:sz w:val="19"/>
              </w:rPr>
              <w:t>Multiple ShipTo blocks</w:t>
            </w:r>
          </w:p>
        </w:tc>
        <w:tc>
          <w:tcPr>
            <w:tcW w:type="dxa" w:w="1417"/>
            <w:shd w:val="clear" w:color="auto" w:fill="F4F8FB"/>
          </w:tcPr>
          <w:p>
            <w:r/>
            <w:r>
              <w:rPr>
                <w:sz w:val="19"/>
              </w:rPr>
              <w:t>detail</w:t>
            </w:r>
          </w:p>
        </w:tc>
        <w:tc>
          <w:tcPr>
            <w:tcW w:type="dxa" w:w="2268"/>
            <w:shd w:val="clear" w:color="auto" w:fill="F4F8FB"/>
          </w:tcPr>
          <w:p>
            <w:r/>
            <w:r>
              <w:rPr>
                <w:sz w:val="19"/>
              </w:rPr>
              <w:t>splice</w:t>
            </w:r>
          </w:p>
        </w:tc>
        <w:tc>
          <w:tcPr>
            <w:tcW w:type="dxa" w:w="3402"/>
            <w:shd w:val="clear" w:color="auto" w:fill="F4F8FB"/>
          </w:tcPr>
          <w:p>
            <w:r/>
            <w:r>
              <w:rPr>
                <w:sz w:val="19"/>
              </w:rPr>
              <w:t>19 Multi-Ship-To · 20 Drop-Ship</w:t>
            </w:r>
          </w:p>
        </w:tc>
      </w:tr>
      <w:tr>
        <w:tc>
          <w:tcPr>
            <w:tcW w:type="dxa" w:w="3685"/>
          </w:tcPr>
          <w:p>
            <w:r/>
            <w:r>
              <w:rPr>
                <w:sz w:val="19"/>
              </w:rPr>
              <w:t>Distribution / Accounting</w:t>
            </w:r>
          </w:p>
        </w:tc>
        <w:tc>
          <w:tcPr>
            <w:tcW w:type="dxa" w:w="1417"/>
          </w:tcPr>
          <w:p>
            <w:r/>
            <w:r>
              <w:rPr>
                <w:sz w:val="19"/>
              </w:rPr>
              <w:t>detail</w:t>
            </w:r>
          </w:p>
        </w:tc>
        <w:tc>
          <w:tcPr>
            <w:tcW w:type="dxa" w:w="2268"/>
          </w:tcPr>
          <w:p>
            <w:r/>
            <w:r>
              <w:rPr>
                <w:sz w:val="19"/>
              </w:rPr>
              <w:t>splice</w:t>
            </w:r>
          </w:p>
        </w:tc>
        <w:tc>
          <w:tcPr>
            <w:tcW w:type="dxa" w:w="3402"/>
          </w:tcPr>
          <w:p>
            <w:r/>
            <w:r>
              <w:rPr>
                <w:sz w:val="19"/>
              </w:rPr>
              <w:t>21 Multi-Account Distribution</w:t>
            </w:r>
          </w:p>
        </w:tc>
      </w:tr>
      <w:tr>
        <w:tc>
          <w:tcPr>
            <w:tcW w:type="dxa" w:w="3685"/>
            <w:shd w:val="clear" w:color="auto" w:fill="F4F8FB"/>
          </w:tcPr>
          <w:p>
            <w:r/>
            <w:r>
              <w:rPr>
                <w:sz w:val="19"/>
              </w:rPr>
              <w:t>ShipControl/@allowPartialShipment</w:t>
            </w:r>
          </w:p>
        </w:tc>
        <w:tc>
          <w:tcPr>
            <w:tcW w:type="dxa" w:w="1417"/>
            <w:shd w:val="clear" w:color="auto" w:fill="F4F8FB"/>
          </w:tcPr>
          <w:p>
            <w:r/>
            <w:r>
              <w:rPr>
                <w:sz w:val="19"/>
              </w:rPr>
              <w:t>header</w:t>
            </w:r>
          </w:p>
        </w:tc>
        <w:tc>
          <w:tcPr>
            <w:tcW w:type="dxa" w:w="2268"/>
            <w:shd w:val="clear" w:color="auto" w:fill="F4F8FB"/>
          </w:tcPr>
          <w:p>
            <w:r/>
            <w:r>
              <w:rPr>
                <w:sz w:val="19"/>
              </w:rPr>
              <w:t>list[yes|no]</w:t>
            </w:r>
          </w:p>
        </w:tc>
        <w:tc>
          <w:tcPr>
            <w:tcW w:type="dxa" w:w="3402"/>
            <w:shd w:val="clear" w:color="auto" w:fill="F4F8FB"/>
          </w:tcPr>
          <w:p>
            <w:r/>
            <w:r>
              <w:rPr>
                <w:sz w:val="19"/>
              </w:rPr>
              <w:t>22 Partial Delivery</w:t>
            </w:r>
          </w:p>
        </w:tc>
      </w:tr>
      <w:tr>
        <w:tc>
          <w:tcPr>
            <w:tcW w:type="dxa" w:w="3685"/>
          </w:tcPr>
          <w:p>
            <w:r/>
            <w:r>
              <w:rPr>
                <w:sz w:val="19"/>
              </w:rPr>
              <w:t>Modifications (header &amp; line)</w:t>
            </w:r>
          </w:p>
        </w:tc>
        <w:tc>
          <w:tcPr>
            <w:tcW w:type="dxa" w:w="1417"/>
          </w:tcPr>
          <w:p>
            <w:r/>
            <w:r>
              <w:rPr>
                <w:sz w:val="19"/>
              </w:rPr>
              <w:t>both</w:t>
            </w:r>
          </w:p>
        </w:tc>
        <w:tc>
          <w:tcPr>
            <w:tcW w:type="dxa" w:w="2268"/>
          </w:tcPr>
          <w:p>
            <w:r/>
            <w:r>
              <w:rPr>
                <w:sz w:val="19"/>
              </w:rPr>
              <w:t>splice</w:t>
            </w:r>
          </w:p>
        </w:tc>
        <w:tc>
          <w:tcPr>
            <w:tcW w:type="dxa" w:w="3402"/>
          </w:tcPr>
          <w:p>
            <w:r/>
            <w:r>
              <w:rPr>
                <w:sz w:val="19"/>
              </w:rPr>
              <w:t>23 Header Charges · 24 Line Allowances</w:t>
            </w:r>
          </w:p>
        </w:tc>
      </w:tr>
      <w:tr>
        <w:tc>
          <w:tcPr>
            <w:tcW w:type="dxa" w:w="3685"/>
            <w:shd w:val="clear" w:color="auto" w:fill="F4F8FB"/>
          </w:tcPr>
          <w:p>
            <w:r/>
            <w:r>
              <w:rPr>
                <w:sz w:val="19"/>
              </w:rPr>
              <w:t>Extrinsic[@name=LimitAmount]</w:t>
            </w:r>
          </w:p>
        </w:tc>
        <w:tc>
          <w:tcPr>
            <w:tcW w:type="dxa" w:w="1417"/>
            <w:shd w:val="clear" w:color="auto" w:fill="F4F8FB"/>
          </w:tcPr>
          <w:p>
            <w:r/>
            <w:r>
              <w:rPr>
                <w:sz w:val="19"/>
              </w:rPr>
              <w:t>detail</w:t>
            </w:r>
          </w:p>
        </w:tc>
        <w:tc>
          <w:tcPr>
            <w:tcW w:type="dxa" w:w="2268"/>
            <w:shd w:val="clear" w:color="auto" w:fill="F4F8FB"/>
          </w:tcPr>
          <w:p>
            <w:r/>
            <w:r>
              <w:rPr>
                <w:sz w:val="19"/>
              </w:rPr>
              <w:t>random</w:t>
            </w:r>
          </w:p>
        </w:tc>
        <w:tc>
          <w:tcPr>
            <w:tcW w:type="dxa" w:w="3402"/>
            <w:shd w:val="clear" w:color="auto" w:fill="F4F8FB"/>
          </w:tcPr>
          <w:p>
            <w:r/>
            <w:r>
              <w:rPr>
                <w:sz w:val="19"/>
              </w:rPr>
              <w:t>25 Limit PO</w:t>
            </w:r>
          </w:p>
        </w:tc>
      </w:tr>
      <w:tr>
        <w:tc>
          <w:tcPr>
            <w:tcW w:type="dxa" w:w="3685"/>
          </w:tcPr>
          <w:p>
            <w:r/>
            <w:r>
              <w:rPr>
                <w:sz w:val="19"/>
              </w:rPr>
              <w:t>UnitPrice/Money = 0</w:t>
            </w:r>
          </w:p>
        </w:tc>
        <w:tc>
          <w:tcPr>
            <w:tcW w:type="dxa" w:w="1417"/>
          </w:tcPr>
          <w:p>
            <w:r/>
            <w:r>
              <w:rPr>
                <w:sz w:val="19"/>
              </w:rPr>
              <w:t>detail</w:t>
            </w:r>
          </w:p>
        </w:tc>
        <w:tc>
          <w:tcPr>
            <w:tcW w:type="dxa" w:w="2268"/>
          </w:tcPr>
          <w:p>
            <w:r/>
            <w:r>
              <w:rPr>
                <w:sz w:val="19"/>
              </w:rPr>
              <w:t>static</w:t>
            </w:r>
          </w:p>
        </w:tc>
        <w:tc>
          <w:tcPr>
            <w:tcW w:type="dxa" w:w="3402"/>
          </w:tcPr>
          <w:p>
            <w:r/>
            <w:r>
              <w:rPr>
                <w:sz w:val="19"/>
              </w:rPr>
              <w:t>26 Zero-Value</w:t>
            </w:r>
          </w:p>
        </w:tc>
      </w:tr>
      <w:tr>
        <w:tc>
          <w:tcPr>
            <w:tcW w:type="dxa" w:w="3685"/>
            <w:shd w:val="clear" w:color="auto" w:fill="F4F8FB"/>
          </w:tcPr>
          <w:p>
            <w:r/>
            <w:r>
              <w:rPr>
                <w:sz w:val="19"/>
              </w:rPr>
              <w:t>Extrinsic[@name=IntercompanyIndicator]</w:t>
            </w:r>
          </w:p>
        </w:tc>
        <w:tc>
          <w:tcPr>
            <w:tcW w:type="dxa" w:w="1417"/>
            <w:shd w:val="clear" w:color="auto" w:fill="F4F8FB"/>
          </w:tcPr>
          <w:p>
            <w:r/>
            <w:r>
              <w:rPr>
                <w:sz w:val="19"/>
              </w:rPr>
              <w:t>header</w:t>
            </w:r>
          </w:p>
        </w:tc>
        <w:tc>
          <w:tcPr>
            <w:tcW w:type="dxa" w:w="2268"/>
            <w:shd w:val="clear" w:color="auto" w:fill="F4F8FB"/>
          </w:tcPr>
          <w:p>
            <w:r/>
            <w:r>
              <w:rPr>
                <w:sz w:val="19"/>
              </w:rPr>
              <w:t>static</w:t>
            </w:r>
          </w:p>
        </w:tc>
        <w:tc>
          <w:tcPr>
            <w:tcW w:type="dxa" w:w="3402"/>
            <w:shd w:val="clear" w:color="auto" w:fill="F4F8FB"/>
          </w:tcPr>
          <w:p>
            <w:r/>
            <w:r>
              <w:rPr>
                <w:sz w:val="19"/>
              </w:rPr>
              <w:t>27 Intercompany</w:t>
            </w:r>
          </w:p>
        </w:tc>
      </w:tr>
      <w:tr>
        <w:tc>
          <w:tcPr>
            <w:tcW w:type="dxa" w:w="3685"/>
          </w:tcPr>
          <w:p>
            <w:r/>
            <w:r>
              <w:rPr>
                <w:sz w:val="19"/>
              </w:rPr>
              <w:t>Attachment / Comments/Attachment</w:t>
            </w:r>
          </w:p>
        </w:tc>
        <w:tc>
          <w:tcPr>
            <w:tcW w:type="dxa" w:w="1417"/>
          </w:tcPr>
          <w:p>
            <w:r/>
            <w:r>
              <w:rPr>
                <w:sz w:val="19"/>
              </w:rPr>
              <w:t>both</w:t>
            </w:r>
          </w:p>
        </w:tc>
        <w:tc>
          <w:tcPr>
            <w:tcW w:type="dxa" w:w="2268"/>
          </w:tcPr>
          <w:p>
            <w:r/>
            <w:r>
              <w:rPr>
                <w:sz w:val="19"/>
              </w:rPr>
              <w:t>splice</w:t>
            </w:r>
          </w:p>
        </w:tc>
        <w:tc>
          <w:tcPr>
            <w:tcW w:type="dxa" w:w="3402"/>
          </w:tcPr>
          <w:p>
            <w:r/>
            <w:r>
              <w:rPr>
                <w:sz w:val="19"/>
              </w:rPr>
              <w:t>30 With Attachments</w:t>
            </w:r>
          </w:p>
        </w:tc>
      </w:tr>
      <w:tr>
        <w:tc>
          <w:tcPr>
            <w:tcW w:type="dxa" w:w="3685"/>
            <w:shd w:val="clear" w:color="auto" w:fill="F4F8FB"/>
          </w:tcPr>
          <w:p>
            <w:r/>
            <w:r>
              <w:rPr>
                <w:sz w:val="19"/>
              </w:rPr>
              <w:t>DocumentReference (Quote/Contract)</w:t>
            </w:r>
          </w:p>
        </w:tc>
        <w:tc>
          <w:tcPr>
            <w:tcW w:type="dxa" w:w="1417"/>
            <w:shd w:val="clear" w:color="auto" w:fill="F4F8FB"/>
          </w:tcPr>
          <w:p>
            <w:r/>
            <w:r>
              <w:rPr>
                <w:sz w:val="19"/>
              </w:rPr>
              <w:t>header</w:t>
            </w:r>
          </w:p>
        </w:tc>
        <w:tc>
          <w:tcPr>
            <w:tcW w:type="dxa" w:w="2268"/>
            <w:shd w:val="clear" w:color="auto" w:fill="F4F8FB"/>
          </w:tcPr>
          <w:p>
            <w:r/>
            <w:r>
              <w:rPr>
                <w:sz w:val="19"/>
              </w:rPr>
              <w:t>splice</w:t>
            </w:r>
          </w:p>
        </w:tc>
        <w:tc>
          <w:tcPr>
            <w:tcW w:type="dxa" w:w="3402"/>
            <w:shd w:val="clear" w:color="auto" w:fill="F4F8FB"/>
          </w:tcPr>
          <w:p>
            <w:r/>
            <w:r>
              <w:rPr>
                <w:sz w:val="19"/>
              </w:rPr>
              <w:t>31 Quote Reference</w:t>
            </w:r>
          </w:p>
        </w:tc>
      </w:tr>
      <w:tr>
        <w:tc>
          <w:tcPr>
            <w:tcW w:type="dxa" w:w="3685"/>
          </w:tcPr>
          <w:p>
            <w:r/>
            <w:r>
              <w:rPr>
                <w:sz w:val="19"/>
              </w:rPr>
              <w:t>Extrinsic[@name=StockTransportOrder]</w:t>
            </w:r>
          </w:p>
        </w:tc>
        <w:tc>
          <w:tcPr>
            <w:tcW w:type="dxa" w:w="1417"/>
          </w:tcPr>
          <w:p>
            <w:r/>
            <w:r>
              <w:rPr>
                <w:sz w:val="19"/>
              </w:rPr>
              <w:t>header</w:t>
            </w:r>
          </w:p>
        </w:tc>
        <w:tc>
          <w:tcPr>
            <w:tcW w:type="dxa" w:w="2268"/>
          </w:tcPr>
          <w:p>
            <w:r/>
            <w:r>
              <w:rPr>
                <w:sz w:val="19"/>
              </w:rPr>
              <w:t>static</w:t>
            </w:r>
          </w:p>
        </w:tc>
        <w:tc>
          <w:tcPr>
            <w:tcW w:type="dxa" w:w="3402"/>
          </w:tcPr>
          <w:p>
            <w:r/>
            <w:r>
              <w:rPr>
                <w:sz w:val="19"/>
              </w:rPr>
              <w:t>34 STO</w:t>
            </w:r>
          </w:p>
        </w:tc>
      </w:tr>
      <w:tr>
        <w:tc>
          <w:tcPr>
            <w:tcW w:type="dxa" w:w="3685"/>
            <w:shd w:val="clear" w:color="auto" w:fill="F4F8FB"/>
          </w:tcPr>
          <w:p>
            <w:r/>
            <w:r>
              <w:rPr>
                <w:sz w:val="19"/>
              </w:rPr>
              <w:t>ItemDetail/AssetInfo</w:t>
            </w:r>
          </w:p>
        </w:tc>
        <w:tc>
          <w:tcPr>
            <w:tcW w:type="dxa" w:w="1417"/>
            <w:shd w:val="clear" w:color="auto" w:fill="F4F8FB"/>
          </w:tcPr>
          <w:p>
            <w:r/>
            <w:r>
              <w:rPr>
                <w:sz w:val="19"/>
              </w:rPr>
              <w:t>detail</w:t>
            </w:r>
          </w:p>
        </w:tc>
        <w:tc>
          <w:tcPr>
            <w:tcW w:type="dxa" w:w="2268"/>
            <w:shd w:val="clear" w:color="auto" w:fill="F4F8FB"/>
          </w:tcPr>
          <w:p>
            <w:r/>
            <w:r>
              <w:rPr>
                <w:sz w:val="19"/>
              </w:rPr>
              <w:t>splice</w:t>
            </w:r>
          </w:p>
        </w:tc>
        <w:tc>
          <w:tcPr>
            <w:tcW w:type="dxa" w:w="3402"/>
            <w:shd w:val="clear" w:color="auto" w:fill="F4F8FB"/>
          </w:tcPr>
          <w:p>
            <w:r/>
            <w:r>
              <w:rPr>
                <w:sz w:val="19"/>
              </w:rPr>
              <w:t>35 Asset PO</w:t>
            </w:r>
          </w:p>
        </w:tc>
      </w:tr>
    </w:tbl>
    <w:p>
      <w:pPr>
        <w:pStyle w:val="Heading1"/>
      </w:pPr>
      <w:r>
        <w:rPr>
          <w:rFonts w:ascii="Calibri" w:hAnsi="Calibri"/>
          <w:color w:val="145078"/>
        </w:rPr>
        <w:t>5. System architecture</w:t>
      </w:r>
    </w:p>
    <w:p>
      <w:pPr>
        <w:spacing w:after="80"/>
      </w:pPr>
      <w:r>
        <w:rPr>
          <w:b w:val="0"/>
          <w:i w:val="0"/>
        </w:rPr>
        <w:t>The engine spans five layers. The diagram below shows source ingestion (top), static catalogs (middle left), the Detect → Plan → Generate → Validate pipeline (centre), test management (bottom), and the AIA extension surface (foot).</w:t>
      </w:r>
    </w:p>
    <w:p>
      <w:r>
        <w:drawing>
          <wp:inline xmlns:a="http://schemas.openxmlformats.org/drawingml/2006/main" xmlns:pic="http://schemas.openxmlformats.org/drawingml/2006/picture">
            <wp:extent cx="9360000" cy="638181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9360000" cy="6381818"/>
                    </a:xfrm>
                    <a:prstGeom prst="rect"/>
                  </pic:spPr>
                </pic:pic>
              </a:graphicData>
            </a:graphic>
          </wp:inline>
        </w:drawing>
      </w:r>
    </w:p>
    <w:p>
      <w:pPr>
        <w:jc w:val="center"/>
      </w:pPr>
      <w:r>
        <w:rPr>
          <w:i/>
          <w:color w:val="808088"/>
          <w:sz w:val="18"/>
        </w:rPr>
        <w:t>Figure 1 — AI2E Scenario Engine, full system architecture (rotate page or view full-screen for detail).</w:t>
      </w:r>
    </w:p>
    <w:p>
      <w:r>
        <w:br w:type="page"/>
      </w:r>
    </w:p>
    <w:p>
      <w:pPr>
        <w:pStyle w:val="Heading1"/>
      </w:pPr>
      <w:r>
        <w:rPr>
          <w:rFonts w:ascii="Calibri" w:hAnsi="Calibri"/>
          <w:color w:val="145078"/>
        </w:rPr>
        <w:t>6. Scenario generation sequence (data flow)</w:t>
      </w:r>
    </w:p>
    <w:p>
      <w:pPr>
        <w:spacing w:after="80"/>
      </w:pPr>
      <w:r>
        <w:rPr>
          <w:b w:val="0"/>
          <w:i w:val="0"/>
        </w:rPr>
        <w:t>The sequence diagram below traces a single end-to-end generation call. Steps 3, 5, and 9 are storage write points; the remainder are in-memory transitions inside the service worker.</w:t>
      </w:r>
    </w:p>
    <w:p>
      <w:r>
        <w:drawing>
          <wp:inline xmlns:a="http://schemas.openxmlformats.org/drawingml/2006/main" xmlns:pic="http://schemas.openxmlformats.org/drawingml/2006/picture">
            <wp:extent cx="9360000" cy="4680000"/>
            <wp:docPr id="2" name="Picture 2"/>
            <wp:cNvGraphicFramePr>
              <a:graphicFrameLocks noChangeAspect="1"/>
            </wp:cNvGraphicFramePr>
            <a:graphic>
              <a:graphicData uri="http://schemas.openxmlformats.org/drawingml/2006/picture">
                <pic:pic>
                  <pic:nvPicPr>
                    <pic:cNvPr id="0" name="sequence.png"/>
                    <pic:cNvPicPr/>
                  </pic:nvPicPr>
                  <pic:blipFill>
                    <a:blip r:embed="rId10"/>
                    <a:stretch>
                      <a:fillRect/>
                    </a:stretch>
                  </pic:blipFill>
                  <pic:spPr>
                    <a:xfrm>
                      <a:off x="0" y="0"/>
                      <a:ext cx="9360000" cy="4680000"/>
                    </a:xfrm>
                    <a:prstGeom prst="rect"/>
                  </pic:spPr>
                </pic:pic>
              </a:graphicData>
            </a:graphic>
          </wp:inline>
        </w:drawing>
      </w:r>
    </w:p>
    <w:p>
      <w:pPr>
        <w:jc w:val="center"/>
      </w:pPr>
      <w:r>
        <w:rPr>
          <w:i/>
          <w:color w:val="808088"/>
          <w:sz w:val="18"/>
        </w:rPr>
        <w:t>Figure 2 — Detect → Plan → Generate → Validate sequence with file/data hand-offs.</w:t>
      </w:r>
    </w:p>
    <w:p>
      <w:pPr>
        <w:pStyle w:val="Heading1"/>
      </w:pPr>
      <w:r>
        <w:rPr>
          <w:rFonts w:ascii="Calibri" w:hAnsi="Calibri"/>
          <w:color w:val="145078"/>
        </w:rPr>
        <w:t>7. File layout — what ships and what lives at runtime</w:t>
      </w:r>
    </w:p>
    <w:p>
      <w:pPr>
        <w:spacing w:after="80"/>
      </w:pPr>
      <w:r>
        <w:rPr>
          <w:b w:val="0"/>
          <w:i w:val="0"/>
        </w:rPr>
        <w:t>Static catalogs (built from the Excel) ship inside the extension under data/ai2e/. Runtime entities (sources, plans, runs) are stored in chrome.storage.local using a documented partitioning scheme.</w:t>
      </w:r>
    </w:p>
    <w:p>
      <w:pPr>
        <w:pStyle w:val="Heading2"/>
      </w:pPr>
      <w:r>
        <w:rPr>
          <w:rFonts w:ascii="Calibri" w:hAnsi="Calibri"/>
          <w:color w:val="145078"/>
        </w:rPr>
        <w:t>7.1 Static catalog files (bundled)</w:t>
      </w:r>
    </w:p>
    <w:tbl>
      <w:tblPr>
        <w:tblStyle w:val="LightGrid-Accent1"/>
        <w:tblW w:type="auto" w:w="0"/>
        <w:tblLayout w:type="fixed"/>
        <w:tblLook w:firstColumn="1" w:firstRow="1" w:lastColumn="0" w:lastRow="0" w:noHBand="0" w:noVBand="1" w:val="04A0"/>
      </w:tblPr>
      <w:tblGrid>
        <w:gridCol w:w="2466"/>
        <w:gridCol w:w="2466"/>
        <w:gridCol w:w="2466"/>
        <w:gridCol w:w="2466"/>
      </w:tblGrid>
      <w:tr>
        <w:tc>
          <w:tcPr>
            <w:tcW w:type="dxa" w:w="3118"/>
            <w:shd w:val="clear" w:color="auto" w:fill="14507A"/>
          </w:tcPr>
          <w:p>
            <w:r/>
            <w:r>
              <w:rPr>
                <w:b/>
                <w:color w:val="FFFFFF"/>
                <w:sz w:val="20"/>
              </w:rPr>
              <w:t>File</w:t>
            </w:r>
          </w:p>
        </w:tc>
        <w:tc>
          <w:tcPr>
            <w:tcW w:type="dxa" w:w="3118"/>
            <w:shd w:val="clear" w:color="auto" w:fill="14507A"/>
          </w:tcPr>
          <w:p>
            <w:r/>
            <w:r>
              <w:rPr>
                <w:b/>
                <w:color w:val="FFFFFF"/>
                <w:sz w:val="20"/>
              </w:rPr>
              <w:t>Built from Excel sheet</w:t>
            </w:r>
          </w:p>
        </w:tc>
        <w:tc>
          <w:tcPr>
            <w:tcW w:type="dxa" w:w="2551"/>
            <w:shd w:val="clear" w:color="auto" w:fill="14507A"/>
          </w:tcPr>
          <w:p>
            <w:r/>
            <w:r>
              <w:rPr>
                <w:b/>
                <w:color w:val="FFFFFF"/>
                <w:sz w:val="20"/>
              </w:rPr>
              <w:t>Used by</w:t>
            </w:r>
          </w:p>
        </w:tc>
        <w:tc>
          <w:tcPr>
            <w:tcW w:type="dxa" w:w="2835"/>
            <w:shd w:val="clear" w:color="auto" w:fill="14507A"/>
          </w:tcPr>
          <w:p>
            <w:r/>
            <w:r>
              <w:rPr>
                <w:b/>
                <w:color w:val="FFFFFF"/>
                <w:sz w:val="20"/>
              </w:rPr>
              <w:t>Why static</w:t>
            </w:r>
          </w:p>
        </w:tc>
      </w:tr>
      <w:tr>
        <w:tc>
          <w:tcPr>
            <w:tcW w:type="dxa" w:w="3118"/>
          </w:tcPr>
          <w:p>
            <w:r/>
            <w:r>
              <w:rPr>
                <w:sz w:val="19"/>
              </w:rPr>
              <w:t>data/ai2e/scenarios.json</w:t>
            </w:r>
          </w:p>
        </w:tc>
        <w:tc>
          <w:tcPr>
            <w:tcW w:type="dxa" w:w="3118"/>
          </w:tcPr>
          <w:p>
            <w:r/>
            <w:r>
              <w:rPr>
                <w:sz w:val="19"/>
              </w:rPr>
              <w:t>Test Scenarios (35 rows)</w:t>
            </w:r>
          </w:p>
        </w:tc>
        <w:tc>
          <w:tcPr>
            <w:tcW w:type="dxa" w:w="2551"/>
          </w:tcPr>
          <w:p>
            <w:r/>
            <w:r>
              <w:rPr>
                <w:sz w:val="19"/>
              </w:rPr>
              <w:t>Detector, Planner, Validator</w:t>
            </w:r>
          </w:p>
        </w:tc>
        <w:tc>
          <w:tcPr>
            <w:tcW w:type="dxa" w:w="2835"/>
          </w:tcPr>
          <w:p>
            <w:r/>
            <w:r>
              <w:rPr>
                <w:sz w:val="19"/>
              </w:rPr>
              <w:t>Catalog evolves with cXML standard; versioned with the extension.</w:t>
            </w:r>
          </w:p>
        </w:tc>
      </w:tr>
      <w:tr>
        <w:tc>
          <w:tcPr>
            <w:tcW w:type="dxa" w:w="3118"/>
            <w:shd w:val="clear" w:color="auto" w:fill="F4F8FB"/>
          </w:tcPr>
          <w:p>
            <w:r/>
            <w:r>
              <w:rPr>
                <w:sz w:val="19"/>
              </w:rPr>
              <w:t>data/ai2e/modifiable-fields.json</w:t>
            </w:r>
          </w:p>
        </w:tc>
        <w:tc>
          <w:tcPr>
            <w:tcW w:type="dxa" w:w="3118"/>
            <w:shd w:val="clear" w:color="auto" w:fill="F4F8FB"/>
          </w:tcPr>
          <w:p>
            <w:r/>
            <w:r>
              <w:rPr>
                <w:sz w:val="19"/>
              </w:rPr>
              <w:t>CIG Modifiable Fields + extended (Mode 3b)</w:t>
            </w:r>
          </w:p>
        </w:tc>
        <w:tc>
          <w:tcPr>
            <w:tcW w:type="dxa" w:w="2551"/>
            <w:shd w:val="clear" w:color="auto" w:fill="F4F8FB"/>
          </w:tcPr>
          <w:p>
            <w:r/>
            <w:r>
              <w:rPr>
                <w:sz w:val="19"/>
              </w:rPr>
              <w:t>Mutator, Planner</w:t>
            </w:r>
          </w:p>
        </w:tc>
        <w:tc>
          <w:tcPr>
            <w:tcW w:type="dxa" w:w="2835"/>
            <w:shd w:val="clear" w:color="auto" w:fill="F4F8FB"/>
          </w:tcPr>
          <w:p>
            <w:r/>
            <w:r>
              <w:rPr>
                <w:sz w:val="19"/>
              </w:rPr>
              <w:t>Mutation policy is part of the engine contract; not user-editable.</w:t>
            </w:r>
          </w:p>
        </w:tc>
      </w:tr>
      <w:tr>
        <w:tc>
          <w:tcPr>
            <w:tcW w:type="dxa" w:w="3118"/>
          </w:tcPr>
          <w:p>
            <w:r/>
            <w:r>
              <w:rPr>
                <w:sz w:val="19"/>
              </w:rPr>
              <w:t>data/ai2e/cxml-template.xml</w:t>
            </w:r>
          </w:p>
        </w:tc>
        <w:tc>
          <w:tcPr>
            <w:tcW w:type="dxa" w:w="3118"/>
          </w:tcPr>
          <w:p>
            <w:r/>
            <w:r>
              <w:rPr>
                <w:sz w:val="19"/>
              </w:rPr>
              <w:t>cXML Order Sample (688 rows reconstructed)</w:t>
            </w:r>
          </w:p>
        </w:tc>
        <w:tc>
          <w:tcPr>
            <w:tcW w:type="dxa" w:w="2551"/>
          </w:tcPr>
          <w:p>
            <w:r/>
            <w:r>
              <w:rPr>
                <w:sz w:val="19"/>
              </w:rPr>
              <w:t>Generator (Mode 2b splice), Validator</w:t>
            </w:r>
          </w:p>
        </w:tc>
        <w:tc>
          <w:tcPr>
            <w:tcW w:type="dxa" w:w="2835"/>
          </w:tcPr>
          <w:p>
            <w:r/>
            <w:r>
              <w:rPr>
                <w:sz w:val="19"/>
              </w:rPr>
              <w:t>Golden template; canonical structural reference.</w:t>
            </w:r>
          </w:p>
        </w:tc>
      </w:tr>
      <w:tr>
        <w:tc>
          <w:tcPr>
            <w:tcW w:type="dxa" w:w="3118"/>
            <w:shd w:val="clear" w:color="auto" w:fill="F4F8FB"/>
          </w:tcPr>
          <w:p>
            <w:r/>
            <w:r>
              <w:rPr>
                <w:sz w:val="19"/>
              </w:rPr>
              <w:t>data/ai2e/cxml-field-index.json</w:t>
            </w:r>
          </w:p>
        </w:tc>
        <w:tc>
          <w:tcPr>
            <w:tcW w:type="dxa" w:w="3118"/>
            <w:shd w:val="clear" w:color="auto" w:fill="F4F8FB"/>
          </w:tcPr>
          <w:p>
            <w:r/>
            <w:r>
              <w:rPr>
                <w:sz w:val="19"/>
              </w:rPr>
              <w:t>Derived from cXML Order Sample</w:t>
            </w:r>
          </w:p>
        </w:tc>
        <w:tc>
          <w:tcPr>
            <w:tcW w:type="dxa" w:w="2551"/>
            <w:shd w:val="clear" w:color="auto" w:fill="F4F8FB"/>
          </w:tcPr>
          <w:p>
            <w:r/>
            <w:r>
              <w:rPr>
                <w:sz w:val="19"/>
              </w:rPr>
              <w:t>Field-path picker, Validator</w:t>
            </w:r>
          </w:p>
        </w:tc>
        <w:tc>
          <w:tcPr>
            <w:tcW w:type="dxa" w:w="2835"/>
            <w:shd w:val="clear" w:color="auto" w:fill="F4F8FB"/>
          </w:tcPr>
          <w:p>
            <w:r/>
            <w:r>
              <w:rPr>
                <w:sz w:val="19"/>
              </w:rPr>
              <w:t>Provides element/attribute metadata indexed by XPath.</w:t>
            </w:r>
          </w:p>
        </w:tc>
      </w:tr>
      <w:tr>
        <w:tc>
          <w:tcPr>
            <w:tcW w:type="dxa" w:w="3118"/>
          </w:tcPr>
          <w:p>
            <w:r/>
            <w:r>
              <w:rPr>
                <w:sz w:val="19"/>
              </w:rPr>
              <w:t>data/ai2e/lists.json</w:t>
            </w:r>
          </w:p>
        </w:tc>
        <w:tc>
          <w:tcPr>
            <w:tcW w:type="dxa" w:w="3118"/>
          </w:tcPr>
          <w:p>
            <w:r/>
            <w:r>
              <w:rPr>
                <w:sz w:val="19"/>
              </w:rPr>
              <w:t>Lists sheet (Status / Purpose / Result enums)</w:t>
            </w:r>
          </w:p>
        </w:tc>
        <w:tc>
          <w:tcPr>
            <w:tcW w:type="dxa" w:w="2551"/>
          </w:tcPr>
          <w:p>
            <w:r/>
            <w:r>
              <w:rPr>
                <w:sz w:val="19"/>
              </w:rPr>
              <w:t>UI dropdowns, Runner result coding</w:t>
            </w:r>
          </w:p>
        </w:tc>
        <w:tc>
          <w:tcPr>
            <w:tcW w:type="dxa" w:w="2835"/>
          </w:tcPr>
          <w:p>
            <w:r/>
            <w:r>
              <w:rPr>
                <w:sz w:val="19"/>
              </w:rPr>
              <w:t>Closed enums; identical across deployments.</w:t>
            </w:r>
          </w:p>
        </w:tc>
      </w:tr>
      <w:tr>
        <w:tc>
          <w:tcPr>
            <w:tcW w:type="dxa" w:w="3118"/>
            <w:shd w:val="clear" w:color="auto" w:fill="F4F8FB"/>
          </w:tcPr>
          <w:p>
            <w:r/>
            <w:r>
              <w:rPr>
                <w:sz w:val="19"/>
              </w:rPr>
              <w:t>data/ai2e/landscape-schema.json</w:t>
            </w:r>
          </w:p>
        </w:tc>
        <w:tc>
          <w:tcPr>
            <w:tcW w:type="dxa" w:w="3118"/>
            <w:shd w:val="clear" w:color="auto" w:fill="F4F8FB"/>
          </w:tcPr>
          <w:p>
            <w:r/>
            <w:r>
              <w:rPr>
                <w:sz w:val="19"/>
              </w:rPr>
              <w:t>Landscape sheet field definitions</w:t>
            </w:r>
          </w:p>
        </w:tc>
        <w:tc>
          <w:tcPr>
            <w:tcW w:type="dxa" w:w="2551"/>
            <w:shd w:val="clear" w:color="auto" w:fill="F4F8FB"/>
          </w:tcPr>
          <w:p>
            <w:r/>
            <w:r>
              <w:rPr>
                <w:sz w:val="19"/>
              </w:rPr>
              <w:t>Landscape CRUD UI, Runner endpoint resolution</w:t>
            </w:r>
          </w:p>
        </w:tc>
        <w:tc>
          <w:tcPr>
            <w:tcW w:type="dxa" w:w="2835"/>
            <w:shd w:val="clear" w:color="auto" w:fill="F4F8FB"/>
          </w:tcPr>
          <w:p>
            <w:r/>
            <w:r>
              <w:rPr>
                <w:sz w:val="19"/>
              </w:rPr>
              <w:t>Schema only; instances are runtime data.</w:t>
            </w:r>
          </w:p>
        </w:tc>
      </w:tr>
    </w:tbl>
    <w:p>
      <w:pPr>
        <w:pStyle w:val="Heading2"/>
      </w:pPr>
      <w:r>
        <w:rPr>
          <w:rFonts w:ascii="Calibri" w:hAnsi="Calibri"/>
          <w:color w:val="145078"/>
        </w:rPr>
        <w:t>7.2 Runtime entities (chrome.storage.local)</w:t>
      </w:r>
    </w:p>
    <w:p>
      <w:pPr>
        <w:spacing w:after="80"/>
      </w:pPr>
      <w:r>
        <w:rPr>
          <w:b w:val="0"/>
          <w:i w:val="0"/>
        </w:rPr>
        <w:t>Runtime data uses a flattened JSON model derived from the Postgres DDL in the Others sheet. Each top-level key is a collection.</w:t>
      </w:r>
    </w:p>
    <w:tbl>
      <w:tblPr>
        <w:tblStyle w:val="LightGrid-Accent1"/>
        <w:tblW w:type="auto" w:w="0"/>
        <w:tblLayout w:type="fixed"/>
        <w:tblLook w:firstColumn="1" w:firstRow="1" w:lastColumn="0" w:lastRow="0" w:noHBand="0" w:noVBand="1" w:val="04A0"/>
      </w:tblPr>
      <w:tblGrid>
        <w:gridCol w:w="3289"/>
        <w:gridCol w:w="3289"/>
        <w:gridCol w:w="3289"/>
      </w:tblGrid>
      <w:tr>
        <w:tc>
          <w:tcPr>
            <w:tcW w:type="dxa" w:w="2835"/>
            <w:shd w:val="clear" w:color="auto" w:fill="14507A"/>
          </w:tcPr>
          <w:p>
            <w:r/>
            <w:r>
              <w:rPr>
                <w:b/>
                <w:color w:val="FFFFFF"/>
                <w:sz w:val="20"/>
              </w:rPr>
              <w:t>Storage key</w:t>
            </w:r>
          </w:p>
        </w:tc>
        <w:tc>
          <w:tcPr>
            <w:tcW w:type="dxa" w:w="3118"/>
            <w:shd w:val="clear" w:color="auto" w:fill="14507A"/>
          </w:tcPr>
          <w:p>
            <w:r/>
            <w:r>
              <w:rPr>
                <w:b/>
                <w:color w:val="FFFFFF"/>
                <w:sz w:val="20"/>
              </w:rPr>
              <w:t>Schema source</w:t>
            </w:r>
          </w:p>
        </w:tc>
        <w:tc>
          <w:tcPr>
            <w:tcW w:type="dxa" w:w="5669"/>
            <w:shd w:val="clear" w:color="auto" w:fill="14507A"/>
          </w:tcPr>
          <w:p>
            <w:r/>
            <w:r>
              <w:rPr>
                <w:b/>
                <w:color w:val="FFFFFF"/>
                <w:sz w:val="20"/>
              </w:rPr>
              <w:t>Contents</w:t>
            </w:r>
          </w:p>
        </w:tc>
      </w:tr>
      <w:tr>
        <w:tc>
          <w:tcPr>
            <w:tcW w:type="dxa" w:w="2835"/>
          </w:tcPr>
          <w:p>
            <w:r/>
            <w:r>
              <w:rPr>
                <w:sz w:val="19"/>
              </w:rPr>
              <w:t>landscapes</w:t>
            </w:r>
          </w:p>
        </w:tc>
        <w:tc>
          <w:tcPr>
            <w:tcW w:type="dxa" w:w="3118"/>
          </w:tcPr>
          <w:p>
            <w:r/>
            <w:r>
              <w:rPr>
                <w:sz w:val="19"/>
              </w:rPr>
              <w:t>Landscape sheet</w:t>
            </w:r>
          </w:p>
        </w:tc>
        <w:tc>
          <w:tcPr>
            <w:tcW w:type="dxa" w:w="5669"/>
          </w:tcPr>
          <w:p>
            <w:r/>
            <w:r>
              <w:rPr>
                <w:sz w:val="19"/>
              </w:rPr>
              <w:t>Per-environment endpoint config (Buyer_Test_REST_URL, ANIDs, secrets, PII flag)</w:t>
            </w:r>
          </w:p>
        </w:tc>
      </w:tr>
      <w:tr>
        <w:tc>
          <w:tcPr>
            <w:tcW w:type="dxa" w:w="2835"/>
            <w:shd w:val="clear" w:color="auto" w:fill="F4F8FB"/>
          </w:tcPr>
          <w:p>
            <w:r/>
            <w:r>
              <w:rPr>
                <w:sz w:val="19"/>
              </w:rPr>
              <w:t>sourceTransactions</w:t>
            </w:r>
          </w:p>
        </w:tc>
        <w:tc>
          <w:tcPr>
            <w:tcW w:type="dxa" w:w="3118"/>
            <w:shd w:val="clear" w:color="auto" w:fill="F4F8FB"/>
          </w:tcPr>
          <w:p>
            <w:r/>
            <w:r>
              <w:rPr>
                <w:sz w:val="19"/>
              </w:rPr>
              <w:t>Source Transaction sheet</w:t>
            </w:r>
          </w:p>
        </w:tc>
        <w:tc>
          <w:tcPr>
            <w:tcW w:type="dxa" w:w="5669"/>
            <w:shd w:val="clear" w:color="auto" w:fill="F4F8FB"/>
          </w:tcPr>
          <w:p>
            <w:r/>
            <w:r>
              <w:rPr>
                <w:sz w:val="19"/>
              </w:rPr>
              <w:t>Retrieved POs (raw cXML + parsed canonical AST + provenance: upload/api/dom)</w:t>
            </w:r>
          </w:p>
        </w:tc>
      </w:tr>
      <w:tr>
        <w:tc>
          <w:tcPr>
            <w:tcW w:type="dxa" w:w="2835"/>
          </w:tcPr>
          <w:p>
            <w:r/>
            <w:r>
              <w:rPr>
                <w:sz w:val="19"/>
              </w:rPr>
              <w:t>sourceTransactionScenarios</w:t>
            </w:r>
          </w:p>
        </w:tc>
        <w:tc>
          <w:tcPr>
            <w:tcW w:type="dxa" w:w="3118"/>
          </w:tcPr>
          <w:p>
            <w:r/>
            <w:r>
              <w:rPr>
                <w:sz w:val="19"/>
              </w:rPr>
              <w:t>Source Transaction Scenario sheet</w:t>
            </w:r>
          </w:p>
        </w:tc>
        <w:tc>
          <w:tcPr>
            <w:tcW w:type="dxa" w:w="5669"/>
          </w:tcPr>
          <w:p>
            <w:r/>
            <w:r>
              <w:rPr>
                <w:sz w:val="19"/>
              </w:rPr>
              <w:t>N:M map of source PO → matched scenario IDs (output of Detector)</w:t>
            </w:r>
          </w:p>
        </w:tc>
      </w:tr>
      <w:tr>
        <w:tc>
          <w:tcPr>
            <w:tcW w:type="dxa" w:w="2835"/>
            <w:shd w:val="clear" w:color="auto" w:fill="F4F8FB"/>
          </w:tcPr>
          <w:p>
            <w:r/>
            <w:r>
              <w:rPr>
                <w:sz w:val="19"/>
              </w:rPr>
              <w:t>testPlans</w:t>
            </w:r>
          </w:p>
        </w:tc>
        <w:tc>
          <w:tcPr>
            <w:tcW w:type="dxa" w:w="3118"/>
            <w:shd w:val="clear" w:color="auto" w:fill="F4F8FB"/>
          </w:tcPr>
          <w:p>
            <w:r/>
            <w:r>
              <w:rPr>
                <w:sz w:val="19"/>
              </w:rPr>
              <w:t>Test Plan sheet</w:t>
            </w:r>
          </w:p>
        </w:tc>
        <w:tc>
          <w:tcPr>
            <w:tcW w:type="dxa" w:w="5669"/>
            <w:shd w:val="clear" w:color="auto" w:fill="F4F8FB"/>
          </w:tcPr>
          <w:p>
            <w:r/>
            <w:r>
              <w:rPr>
                <w:sz w:val="19"/>
              </w:rPr>
              <w:t>Plan records with exit criteria, environments, owner</w:t>
            </w:r>
          </w:p>
        </w:tc>
      </w:tr>
      <w:tr>
        <w:tc>
          <w:tcPr>
            <w:tcW w:type="dxa" w:w="2835"/>
          </w:tcPr>
          <w:p>
            <w:r/>
            <w:r>
              <w:rPr>
                <w:sz w:val="19"/>
              </w:rPr>
              <w:t>testCycles</w:t>
            </w:r>
          </w:p>
        </w:tc>
        <w:tc>
          <w:tcPr>
            <w:tcW w:type="dxa" w:w="3118"/>
          </w:tcPr>
          <w:p>
            <w:r/>
            <w:r>
              <w:rPr>
                <w:sz w:val="19"/>
              </w:rPr>
              <w:t>Test Cycle sheet</w:t>
            </w:r>
          </w:p>
        </w:tc>
        <w:tc>
          <w:tcPr>
            <w:tcW w:type="dxa" w:w="5669"/>
          </w:tcPr>
          <w:p>
            <w:r/>
            <w:r>
              <w:rPr>
                <w:sz w:val="19"/>
              </w:rPr>
              <w:t>Cycle records linked to a Plan and a Landscape</w:t>
            </w:r>
          </w:p>
        </w:tc>
      </w:tr>
      <w:tr>
        <w:tc>
          <w:tcPr>
            <w:tcW w:type="dxa" w:w="2835"/>
            <w:shd w:val="clear" w:color="auto" w:fill="F4F8FB"/>
          </w:tcPr>
          <w:p>
            <w:r/>
            <w:r>
              <w:rPr>
                <w:sz w:val="19"/>
              </w:rPr>
              <w:t>testCycleBuyerANIDs</w:t>
            </w:r>
          </w:p>
        </w:tc>
        <w:tc>
          <w:tcPr>
            <w:tcW w:type="dxa" w:w="3118"/>
            <w:shd w:val="clear" w:color="auto" w:fill="F4F8FB"/>
          </w:tcPr>
          <w:p>
            <w:r/>
            <w:r>
              <w:rPr>
                <w:sz w:val="19"/>
              </w:rPr>
              <w:t>Test Cycle - Buyer ANID sheet</w:t>
            </w:r>
          </w:p>
        </w:tc>
        <w:tc>
          <w:tcPr>
            <w:tcW w:type="dxa" w:w="5669"/>
            <w:shd w:val="clear" w:color="auto" w:fill="F4F8FB"/>
          </w:tcPr>
          <w:p>
            <w:r/>
            <w:r>
              <w:rPr>
                <w:sz w:val="19"/>
              </w:rPr>
              <w:t>N:M binding between cycles and buyers</w:t>
            </w:r>
          </w:p>
        </w:tc>
      </w:tr>
      <w:tr>
        <w:tc>
          <w:tcPr>
            <w:tcW w:type="dxa" w:w="2835"/>
          </w:tcPr>
          <w:p>
            <w:r/>
            <w:r>
              <w:rPr>
                <w:sz w:val="19"/>
              </w:rPr>
              <w:t>testSuites</w:t>
            </w:r>
          </w:p>
        </w:tc>
        <w:tc>
          <w:tcPr>
            <w:tcW w:type="dxa" w:w="3118"/>
          </w:tcPr>
          <w:p>
            <w:r/>
            <w:r>
              <w:rPr>
                <w:sz w:val="19"/>
              </w:rPr>
              <w:t>Test Suite sheet</w:t>
            </w:r>
          </w:p>
        </w:tc>
        <w:tc>
          <w:tcPr>
            <w:tcW w:type="dxa" w:w="5669"/>
          </w:tcPr>
          <w:p>
            <w:r/>
            <w:r>
              <w:rPr>
                <w:sz w:val="19"/>
              </w:rPr>
              <w:t>Grouping of cases with reuse flag, criticality</w:t>
            </w:r>
          </w:p>
        </w:tc>
      </w:tr>
      <w:tr>
        <w:tc>
          <w:tcPr>
            <w:tcW w:type="dxa" w:w="2835"/>
            <w:shd w:val="clear" w:color="auto" w:fill="F4F8FB"/>
          </w:tcPr>
          <w:p>
            <w:r/>
            <w:r>
              <w:rPr>
                <w:sz w:val="19"/>
              </w:rPr>
              <w:t>testCases</w:t>
            </w:r>
          </w:p>
        </w:tc>
        <w:tc>
          <w:tcPr>
            <w:tcW w:type="dxa" w:w="3118"/>
            <w:shd w:val="clear" w:color="auto" w:fill="F4F8FB"/>
          </w:tcPr>
          <w:p>
            <w:r/>
            <w:r>
              <w:rPr>
                <w:sz w:val="19"/>
              </w:rPr>
              <w:t>Test Case sheet</w:t>
            </w:r>
          </w:p>
        </w:tc>
        <w:tc>
          <w:tcPr>
            <w:tcW w:type="dxa" w:w="5669"/>
            <w:shd w:val="clear" w:color="auto" w:fill="F4F8FB"/>
          </w:tcPr>
          <w:p>
            <w:r/>
            <w:r>
              <w:rPr>
                <w:sz w:val="19"/>
              </w:rPr>
              <w:t>Atomic cases with steps, expected result, Test_Data_ID, schema version</w:t>
            </w:r>
          </w:p>
        </w:tc>
      </w:tr>
      <w:tr>
        <w:tc>
          <w:tcPr>
            <w:tcW w:type="dxa" w:w="2835"/>
          </w:tcPr>
          <w:p>
            <w:r/>
            <w:r>
              <w:rPr>
                <w:sz w:val="19"/>
              </w:rPr>
              <w:t>testRuns</w:t>
            </w:r>
          </w:p>
        </w:tc>
        <w:tc>
          <w:tcPr>
            <w:tcW w:type="dxa" w:w="3118"/>
          </w:tcPr>
          <w:p>
            <w:r/>
            <w:r>
              <w:rPr>
                <w:sz w:val="19"/>
              </w:rPr>
              <w:t>Test Run sheet</w:t>
            </w:r>
          </w:p>
        </w:tc>
        <w:tc>
          <w:tcPr>
            <w:tcW w:type="dxa" w:w="5669"/>
          </w:tcPr>
          <w:p>
            <w:r/>
            <w:r>
              <w:rPr>
                <w:sz w:val="19"/>
              </w:rPr>
              <w:t>Execution instances with artifacts, result, defects, correlation IDs</w:t>
            </w:r>
          </w:p>
        </w:tc>
      </w:tr>
      <w:tr>
        <w:tc>
          <w:tcPr>
            <w:tcW w:type="dxa" w:w="2835"/>
            <w:shd w:val="clear" w:color="auto" w:fill="F4F8FB"/>
          </w:tcPr>
          <w:p>
            <w:r/>
            <w:r>
              <w:rPr>
                <w:sz w:val="19"/>
              </w:rPr>
              <w:t>testDataSamples</w:t>
            </w:r>
          </w:p>
        </w:tc>
        <w:tc>
          <w:tcPr>
            <w:tcW w:type="dxa" w:w="3118"/>
            <w:shd w:val="clear" w:color="auto" w:fill="F4F8FB"/>
          </w:tcPr>
          <w:p>
            <w:r/>
            <w:r>
              <w:rPr>
                <w:sz w:val="19"/>
              </w:rPr>
              <w:t>Test Data Sample sheet</w:t>
            </w:r>
          </w:p>
        </w:tc>
        <w:tc>
          <w:tcPr>
            <w:tcW w:type="dxa" w:w="5669"/>
            <w:shd w:val="clear" w:color="auto" w:fill="F4F8FB"/>
          </w:tcPr>
          <w:p>
            <w:r/>
            <w:r>
              <w:rPr>
                <w:sz w:val="19"/>
              </w:rPr>
              <w:t>Variant cXML payloads emitted by the Generator; versioned and PII-tagged</w:t>
            </w:r>
          </w:p>
        </w:tc>
      </w:tr>
      <w:tr>
        <w:tc>
          <w:tcPr>
            <w:tcW w:type="dxa" w:w="2835"/>
          </w:tcPr>
          <w:p>
            <w:r/>
            <w:r>
              <w:rPr>
                <w:sz w:val="19"/>
              </w:rPr>
              <w:t>ai2eFieldState</w:t>
            </w:r>
          </w:p>
        </w:tc>
        <w:tc>
          <w:tcPr>
            <w:tcW w:type="dxa" w:w="3118"/>
          </w:tcPr>
          <w:p>
            <w:r/>
            <w:r>
              <w:rPr>
                <w:sz w:val="19"/>
              </w:rPr>
              <w:t>CIG Modifiable Fields (auto-range)</w:t>
            </w:r>
          </w:p>
        </w:tc>
        <w:tc>
          <w:tcPr>
            <w:tcW w:type="dxa" w:w="5669"/>
          </w:tcPr>
          <w:p>
            <w:r/>
            <w:r>
              <w:rPr>
                <w:sz w:val="19"/>
              </w:rPr>
              <w:t>Per-field auto-increment counters (e.g. orderID last-used) for deterministic generation</w:t>
            </w:r>
          </w:p>
        </w:tc>
      </w:tr>
    </w:tbl>
    <w:p>
      <w:pPr>
        <w:pStyle w:val="Heading1"/>
      </w:pPr>
      <w:r>
        <w:rPr>
          <w:rFonts w:ascii="Calibri" w:hAnsi="Calibri"/>
          <w:color w:val="145078"/>
        </w:rPr>
        <w:t>8. Engine interfaces (extension message routes)</w:t>
      </w:r>
    </w:p>
    <w:p>
      <w:pPr>
        <w:spacing w:after="80"/>
      </w:pPr>
      <w:r>
        <w:rPr>
          <w:b w:val="0"/>
          <w:i w:val="0"/>
        </w:rPr>
        <w:t>The engine exposes a small set of new message types on the existing chrome.runtime message bus. No existing AIA route is altered; the AI tab and the new Test Management UI consume these routes.</w:t>
      </w:r>
    </w:p>
    <w:tbl>
      <w:tblPr>
        <w:tblStyle w:val="LightGrid-Accent1"/>
        <w:tblW w:type="auto" w:w="0"/>
        <w:tblLayout w:type="fixed"/>
        <w:tblLook w:firstColumn="1" w:firstRow="1" w:lastColumn="0" w:lastRow="0" w:noHBand="0" w:noVBand="1" w:val="04A0"/>
      </w:tblPr>
      <w:tblGrid>
        <w:gridCol w:w="2466"/>
        <w:gridCol w:w="2466"/>
        <w:gridCol w:w="2466"/>
        <w:gridCol w:w="2466"/>
      </w:tblGrid>
      <w:tr>
        <w:tc>
          <w:tcPr>
            <w:tcW w:type="dxa" w:w="2835"/>
            <w:shd w:val="clear" w:color="auto" w:fill="14507A"/>
          </w:tcPr>
          <w:p>
            <w:r/>
            <w:r>
              <w:rPr>
                <w:b/>
                <w:color w:val="FFFFFF"/>
                <w:sz w:val="20"/>
              </w:rPr>
              <w:t>Message type</w:t>
            </w:r>
          </w:p>
        </w:tc>
        <w:tc>
          <w:tcPr>
            <w:tcW w:type="dxa" w:w="3118"/>
            <w:shd w:val="clear" w:color="auto" w:fill="14507A"/>
          </w:tcPr>
          <w:p>
            <w:r/>
            <w:r>
              <w:rPr>
                <w:b/>
                <w:color w:val="FFFFFF"/>
                <w:sz w:val="20"/>
              </w:rPr>
              <w:t>Payload</w:t>
            </w:r>
          </w:p>
        </w:tc>
        <w:tc>
          <w:tcPr>
            <w:tcW w:type="dxa" w:w="3118"/>
            <w:shd w:val="clear" w:color="auto" w:fill="14507A"/>
          </w:tcPr>
          <w:p>
            <w:r/>
            <w:r>
              <w:rPr>
                <w:b/>
                <w:color w:val="FFFFFF"/>
                <w:sz w:val="20"/>
              </w:rPr>
              <w:t>Returns</w:t>
            </w:r>
          </w:p>
        </w:tc>
        <w:tc>
          <w:tcPr>
            <w:tcW w:type="dxa" w:w="2551"/>
            <w:shd w:val="clear" w:color="auto" w:fill="14507A"/>
          </w:tcPr>
          <w:p>
            <w:r/>
            <w:r>
              <w:rPr>
                <w:b/>
                <w:color w:val="FFFFFF"/>
                <w:sz w:val="20"/>
              </w:rPr>
              <w:t>Persists</w:t>
            </w:r>
          </w:p>
        </w:tc>
      </w:tr>
      <w:tr>
        <w:tc>
          <w:tcPr>
            <w:tcW w:type="dxa" w:w="2835"/>
          </w:tcPr>
          <w:p>
            <w:r/>
            <w:r>
              <w:rPr>
                <w:sz w:val="19"/>
              </w:rPr>
              <w:t>AI2E_INGEST_SOURCE</w:t>
            </w:r>
          </w:p>
        </w:tc>
        <w:tc>
          <w:tcPr>
            <w:tcW w:type="dxa" w:w="3118"/>
          </w:tcPr>
          <w:p>
            <w:r/>
            <w:r>
              <w:rPr>
                <w:sz w:val="19"/>
              </w:rPr>
              <w:t>{ type: upload|api|dom, ref }</w:t>
            </w:r>
          </w:p>
        </w:tc>
        <w:tc>
          <w:tcPr>
            <w:tcW w:type="dxa" w:w="3118"/>
          </w:tcPr>
          <w:p>
            <w:r/>
            <w:r>
              <w:rPr>
                <w:sz w:val="19"/>
              </w:rPr>
              <w:t>CanonicalPO + sourceId</w:t>
            </w:r>
          </w:p>
        </w:tc>
        <w:tc>
          <w:tcPr>
            <w:tcW w:type="dxa" w:w="2551"/>
          </w:tcPr>
          <w:p>
            <w:r/>
            <w:r>
              <w:rPr>
                <w:sz w:val="19"/>
              </w:rPr>
              <w:t>sourceTransactions</w:t>
            </w:r>
          </w:p>
        </w:tc>
      </w:tr>
      <w:tr>
        <w:tc>
          <w:tcPr>
            <w:tcW w:type="dxa" w:w="2835"/>
            <w:shd w:val="clear" w:color="auto" w:fill="F4F8FB"/>
          </w:tcPr>
          <w:p>
            <w:r/>
            <w:r>
              <w:rPr>
                <w:sz w:val="19"/>
              </w:rPr>
              <w:t>AI2E_DETECT_SCENARIOS</w:t>
            </w:r>
          </w:p>
        </w:tc>
        <w:tc>
          <w:tcPr>
            <w:tcW w:type="dxa" w:w="3118"/>
            <w:shd w:val="clear" w:color="auto" w:fill="F4F8FB"/>
          </w:tcPr>
          <w:p>
            <w:r/>
            <w:r>
              <w:rPr>
                <w:sz w:val="19"/>
              </w:rPr>
              <w:t>{ sourceId | inlineCxml }</w:t>
            </w:r>
          </w:p>
        </w:tc>
        <w:tc>
          <w:tcPr>
            <w:tcW w:type="dxa" w:w="3118"/>
            <w:shd w:val="clear" w:color="auto" w:fill="F4F8FB"/>
          </w:tcPr>
          <w:p>
            <w:r/>
            <w:r>
              <w:rPr>
                <w:sz w:val="19"/>
              </w:rPr>
              <w:t>matchedScenarios[]</w:t>
            </w:r>
          </w:p>
        </w:tc>
        <w:tc>
          <w:tcPr>
            <w:tcW w:type="dxa" w:w="2551"/>
            <w:shd w:val="clear" w:color="auto" w:fill="F4F8FB"/>
          </w:tcPr>
          <w:p>
            <w:r/>
            <w:r>
              <w:rPr>
                <w:sz w:val="19"/>
              </w:rPr>
              <w:t>sourceTransactionScenarios</w:t>
            </w:r>
          </w:p>
        </w:tc>
      </w:tr>
      <w:tr>
        <w:tc>
          <w:tcPr>
            <w:tcW w:type="dxa" w:w="2835"/>
          </w:tcPr>
          <w:p>
            <w:r/>
            <w:r>
              <w:rPr>
                <w:sz w:val="19"/>
              </w:rPr>
              <w:t>AI2E_PLAN_VARIANT</w:t>
            </w:r>
          </w:p>
        </w:tc>
        <w:tc>
          <w:tcPr>
            <w:tcW w:type="dxa" w:w="3118"/>
          </w:tcPr>
          <w:p>
            <w:r/>
            <w:r>
              <w:rPr>
                <w:sz w:val="19"/>
              </w:rPr>
              <w:t>{ baseSourceId, targetScenarioId }</w:t>
            </w:r>
          </w:p>
        </w:tc>
        <w:tc>
          <w:tcPr>
            <w:tcW w:type="dxa" w:w="3118"/>
          </w:tcPr>
          <w:p>
            <w:r/>
            <w:r>
              <w:rPr>
                <w:sz w:val="19"/>
              </w:rPr>
              <w:t>MutationPlan { ops:[…], mode: B|C }</w:t>
            </w:r>
          </w:p>
        </w:tc>
        <w:tc>
          <w:tcPr>
            <w:tcW w:type="dxa" w:w="2551"/>
          </w:tcPr>
          <w:p>
            <w:r/>
            <w:r>
              <w:rPr>
                <w:sz w:val="19"/>
              </w:rPr>
              <w:t>— (preview only)</w:t>
            </w:r>
          </w:p>
        </w:tc>
      </w:tr>
      <w:tr>
        <w:tc>
          <w:tcPr>
            <w:tcW w:type="dxa" w:w="2835"/>
            <w:shd w:val="clear" w:color="auto" w:fill="F4F8FB"/>
          </w:tcPr>
          <w:p>
            <w:r/>
            <w:r>
              <w:rPr>
                <w:sz w:val="19"/>
              </w:rPr>
              <w:t>AI2E_GENERATE_VARIANT</w:t>
            </w:r>
          </w:p>
        </w:tc>
        <w:tc>
          <w:tcPr>
            <w:tcW w:type="dxa" w:w="3118"/>
            <w:shd w:val="clear" w:color="auto" w:fill="F4F8FB"/>
          </w:tcPr>
          <w:p>
            <w:r/>
            <w:r>
              <w:rPr>
                <w:sz w:val="19"/>
              </w:rPr>
              <w:t>{ baseSourceId, targetScenarioId | mutationPlan }</w:t>
            </w:r>
          </w:p>
        </w:tc>
        <w:tc>
          <w:tcPr>
            <w:tcW w:type="dxa" w:w="3118"/>
            <w:shd w:val="clear" w:color="auto" w:fill="F4F8FB"/>
          </w:tcPr>
          <w:p>
            <w:r/>
            <w:r>
              <w:rPr>
                <w:sz w:val="19"/>
              </w:rPr>
              <w:t>VariantPO { cxml, testDataId }</w:t>
            </w:r>
          </w:p>
        </w:tc>
        <w:tc>
          <w:tcPr>
            <w:tcW w:type="dxa" w:w="2551"/>
            <w:shd w:val="clear" w:color="auto" w:fill="F4F8FB"/>
          </w:tcPr>
          <w:p>
            <w:r/>
            <w:r>
              <w:rPr>
                <w:sz w:val="19"/>
              </w:rPr>
              <w:t>testDataSamples · ai2eFieldState</w:t>
            </w:r>
          </w:p>
        </w:tc>
      </w:tr>
      <w:tr>
        <w:tc>
          <w:tcPr>
            <w:tcW w:type="dxa" w:w="2835"/>
          </w:tcPr>
          <w:p>
            <w:r/>
            <w:r>
              <w:rPr>
                <w:sz w:val="19"/>
              </w:rPr>
              <w:t>AI2E_BULK_GENERATE</w:t>
            </w:r>
          </w:p>
        </w:tc>
        <w:tc>
          <w:tcPr>
            <w:tcW w:type="dxa" w:w="3118"/>
          </w:tcPr>
          <w:p>
            <w:r/>
            <w:r>
              <w:rPr>
                <w:sz w:val="19"/>
              </w:rPr>
              <w:t>{ baseSourceId, scenarioIds[] }</w:t>
            </w:r>
          </w:p>
        </w:tc>
        <w:tc>
          <w:tcPr>
            <w:tcW w:type="dxa" w:w="3118"/>
          </w:tcPr>
          <w:p>
            <w:r/>
            <w:r>
              <w:rPr>
                <w:sz w:val="19"/>
              </w:rPr>
              <w:t>Array of VariantPOs</w:t>
            </w:r>
          </w:p>
        </w:tc>
        <w:tc>
          <w:tcPr>
            <w:tcW w:type="dxa" w:w="2551"/>
          </w:tcPr>
          <w:p>
            <w:r/>
            <w:r>
              <w:rPr>
                <w:sz w:val="19"/>
              </w:rPr>
              <w:t>testDataSamples</w:t>
            </w:r>
          </w:p>
        </w:tc>
      </w:tr>
      <w:tr>
        <w:tc>
          <w:tcPr>
            <w:tcW w:type="dxa" w:w="2835"/>
            <w:shd w:val="clear" w:color="auto" w:fill="F4F8FB"/>
          </w:tcPr>
          <w:p>
            <w:r/>
            <w:r>
              <w:rPr>
                <w:sz w:val="19"/>
              </w:rPr>
              <w:t>AI2E_RUN_TESTCASE</w:t>
            </w:r>
          </w:p>
        </w:tc>
        <w:tc>
          <w:tcPr>
            <w:tcW w:type="dxa" w:w="3118"/>
            <w:shd w:val="clear" w:color="auto" w:fill="F4F8FB"/>
          </w:tcPr>
          <w:p>
            <w:r/>
            <w:r>
              <w:rPr>
                <w:sz w:val="19"/>
              </w:rPr>
              <w:t>{ testCaseId }</w:t>
            </w:r>
          </w:p>
        </w:tc>
        <w:tc>
          <w:tcPr>
            <w:tcW w:type="dxa" w:w="3118"/>
            <w:shd w:val="clear" w:color="auto" w:fill="F4F8FB"/>
          </w:tcPr>
          <w:p>
            <w:r/>
            <w:r>
              <w:rPr>
                <w:sz w:val="19"/>
              </w:rPr>
              <w:t>TestRun { id, result, artifacts }</w:t>
            </w:r>
          </w:p>
        </w:tc>
        <w:tc>
          <w:tcPr>
            <w:tcW w:type="dxa" w:w="2551"/>
            <w:shd w:val="clear" w:color="auto" w:fill="F4F8FB"/>
          </w:tcPr>
          <w:p>
            <w:r/>
            <w:r>
              <w:rPr>
                <w:sz w:val="19"/>
              </w:rPr>
              <w:t>testRuns</w:t>
            </w:r>
          </w:p>
        </w:tc>
      </w:tr>
      <w:tr>
        <w:tc>
          <w:tcPr>
            <w:tcW w:type="dxa" w:w="2835"/>
          </w:tcPr>
          <w:p>
            <w:r/>
            <w:r>
              <w:rPr>
                <w:sz w:val="19"/>
              </w:rPr>
              <w:t>AI2E_COVERAGE_REPORT</w:t>
            </w:r>
          </w:p>
        </w:tc>
        <w:tc>
          <w:tcPr>
            <w:tcW w:type="dxa" w:w="3118"/>
          </w:tcPr>
          <w:p>
            <w:r/>
            <w:r>
              <w:rPr>
                <w:sz w:val="19"/>
              </w:rPr>
              <w:t>{ landscapeId? }</w:t>
            </w:r>
          </w:p>
        </w:tc>
        <w:tc>
          <w:tcPr>
            <w:tcW w:type="dxa" w:w="3118"/>
          </w:tcPr>
          <w:p>
            <w:r/>
            <w:r>
              <w:rPr>
                <w:sz w:val="19"/>
              </w:rPr>
              <w:t>Per-scenario count + presence map</w:t>
            </w:r>
          </w:p>
        </w:tc>
        <w:tc>
          <w:tcPr>
            <w:tcW w:type="dxa" w:w="2551"/>
          </w:tcPr>
          <w:p>
            <w:r/>
            <w:r>
              <w:rPr>
                <w:sz w:val="19"/>
              </w:rPr>
              <w:t>—</w:t>
            </w:r>
          </w:p>
        </w:tc>
      </w:tr>
    </w:tbl>
    <w:p>
      <w:pPr>
        <w:pStyle w:val="Heading1"/>
      </w:pPr>
      <w:r>
        <w:rPr>
          <w:rFonts w:ascii="Calibri" w:hAnsi="Calibri"/>
          <w:color w:val="145078"/>
        </w:rPr>
        <w:t>9. Engine pipeline — operational logic</w:t>
      </w:r>
    </w:p>
    <w:p>
      <w:pPr>
        <w:pStyle w:val="Heading2"/>
      </w:pPr>
      <w:r>
        <w:rPr>
          <w:rFonts w:ascii="Calibri" w:hAnsi="Calibri"/>
          <w:color w:val="145078"/>
        </w:rPr>
        <w:t>9.1 Detector (classification — Mode 1c)</w:t>
      </w:r>
    </w:p>
    <w:p>
      <w:pPr>
        <w:spacing w:after="80"/>
      </w:pPr>
      <w:r>
        <w:rPr>
          <w:b w:val="0"/>
          <w:i w:val="0"/>
        </w:rPr>
        <w:t>Iterates the 35 scenarios. For each, runs the XPath identifier against the parsed CanonicalPO. A PO can match multiple scenarios simultaneously (e.g. a Multi-Line Multi-Currency Tax-Inclusive PO matches scenarios 12, 8 and 9). Output is persisted to sourceTransactionScenarios and feeds a coverage dashboard ("which of the 35 do we encounter in real traffic?").</w:t>
      </w:r>
    </w:p>
    <w:p>
      <w:pPr>
        <w:pStyle w:val="Heading2"/>
      </w:pPr>
      <w:r>
        <w:rPr>
          <w:rFonts w:ascii="Calibri" w:hAnsi="Calibri"/>
          <w:color w:val="145078"/>
        </w:rPr>
        <w:t>9.2 Planner (Mode B vs Mode C decision)</w:t>
      </w:r>
    </w:p>
    <w:p>
      <w:pPr>
        <w:pStyle w:val="ListBullet"/>
        <w:spacing w:after="40"/>
      </w:pPr>
      <w:r>
        <w:t>Resolves the target scenario's requiredMutations from scenarios.json.</w:t>
      </w:r>
    </w:p>
    <w:p>
      <w:pPr>
        <w:pStyle w:val="ListBullet"/>
        <w:spacing w:after="40"/>
      </w:pPr>
      <w:r>
        <w:t>For each required mutation, looks up policy in modifiable-fields.json (original 14 + extended set).</w:t>
      </w:r>
    </w:p>
    <w:p>
      <w:pPr>
        <w:pStyle w:val="ListBullet"/>
        <w:spacing w:after="40"/>
      </w:pPr>
      <w:r>
        <w:t>If every required mutation can be applied to the base PO without inserting new elements → Mode B (mutate-in-place).</w:t>
      </w:r>
    </w:p>
    <w:p>
      <w:pPr>
        <w:pStyle w:val="ListBullet"/>
        <w:spacing w:after="40"/>
      </w:pPr>
      <w:r>
        <w:t>If any required mutation needs an element that does not exist in the base PO → Mode C (splice from cxml-template.xml).</w:t>
      </w:r>
    </w:p>
    <w:p>
      <w:pPr>
        <w:pStyle w:val="ListBullet"/>
        <w:spacing w:after="40"/>
      </w:pPr>
      <w:r>
        <w:t>Emits a MutationPlan: an ordered list of operations { xpath, op: set|insert|delete|splice, value | sourcePath }.</w:t>
      </w:r>
    </w:p>
    <w:p>
      <w:pPr>
        <w:pStyle w:val="Heading2"/>
      </w:pPr>
      <w:r>
        <w:rPr>
          <w:rFonts w:ascii="Calibri" w:hAnsi="Calibri"/>
          <w:color w:val="145078"/>
        </w:rPr>
        <w:t>9.3 Generator + Mutator (variant synthesis)</w:t>
      </w:r>
    </w:p>
    <w:p>
      <w:pPr>
        <w:pStyle w:val="ListBullet"/>
        <w:spacing w:after="40"/>
      </w:pPr>
      <w:r>
        <w:t>Parses base cXML to a DOM AST (browser DOMParser is available in service worker via service-worker-friendly polyfill).</w:t>
      </w:r>
    </w:p>
    <w:p>
      <w:pPr>
        <w:pStyle w:val="ListBullet"/>
        <w:spacing w:after="40"/>
      </w:pPr>
      <w:r>
        <w:t>Applies each MutationPlan op sequentially. Mutator primitives:</w:t>
      </w:r>
    </w:p>
    <w:p>
      <w:pPr>
        <w:pStyle w:val="ListBullet"/>
        <w:spacing w:after="40"/>
      </w:pPr>
      <w:r>
        <w:t xml:space="preserve">   random(start, end) — uniform integer/float in range.</w:t>
      </w:r>
    </w:p>
    <w:p>
      <w:pPr>
        <w:pStyle w:val="ListBullet"/>
        <w:spacing w:after="40"/>
      </w:pPr>
      <w:r>
        <w:t xml:space="preserve">   autoIncrement(range, last) — reads/writes ai2eFieldState; deterministic per-extension session.</w:t>
      </w:r>
    </w:p>
    <w:p>
      <w:pPr>
        <w:pStyle w:val="ListBullet"/>
        <w:spacing w:after="40"/>
      </w:pPr>
      <w:r>
        <w:t xml:space="preserve">   formula(expr) — safe-evals TODAY(), NOW(), UUID(), CURRENCY_CODE().</w:t>
      </w:r>
    </w:p>
    <w:p>
      <w:pPr>
        <w:pStyle w:val="ListBullet"/>
        <w:spacing w:after="40"/>
      </w:pPr>
      <w:r>
        <w:t xml:space="preserve">   list(options) — sample from controlled vocabulary.</w:t>
      </w:r>
    </w:p>
    <w:p>
      <w:pPr>
        <w:pStyle w:val="ListBullet"/>
        <w:spacing w:after="40"/>
      </w:pPr>
      <w:r>
        <w:t xml:space="preserve">   static(value) — fixed override.</w:t>
      </w:r>
    </w:p>
    <w:p>
      <w:pPr>
        <w:pStyle w:val="ListBullet"/>
        <w:spacing w:after="40"/>
      </w:pPr>
      <w:r>
        <w:t xml:space="preserve">   splice(templatePath) — copies a subtree from cxml-template.xml at the given path into the variant.</w:t>
      </w:r>
    </w:p>
    <w:p>
      <w:pPr>
        <w:pStyle w:val="ListBullet"/>
        <w:spacing w:after="40"/>
      </w:pPr>
      <w:r>
        <w:t>Re-serializes via XMLSerializer; preserves attribute order via a deterministic walker.</w:t>
      </w:r>
    </w:p>
    <w:p>
      <w:pPr>
        <w:pStyle w:val="Heading2"/>
      </w:pPr>
      <w:r>
        <w:rPr>
          <w:rFonts w:ascii="Calibri" w:hAnsi="Calibri"/>
          <w:color w:val="145078"/>
        </w:rPr>
        <w:t>9.4 Validator (post-generation gate)</w:t>
      </w:r>
    </w:p>
    <w:p>
      <w:pPr>
        <w:pStyle w:val="ListBullet"/>
        <w:spacing w:after="40"/>
      </w:pPr>
      <w:r>
        <w:t>Re-runs the Detector on the generated variant to confirm the target scenario's XPath matches.</w:t>
      </w:r>
    </w:p>
    <w:p>
      <w:pPr>
        <w:pStyle w:val="ListBullet"/>
        <w:spacing w:after="40"/>
      </w:pPr>
      <w:r>
        <w:t>Schema-checks against cXML 1.2.045 DTD (bundled).</w:t>
      </w:r>
    </w:p>
    <w:p>
      <w:pPr>
        <w:pStyle w:val="ListBullet"/>
        <w:spacing w:after="40"/>
      </w:pPr>
      <w:r>
        <w:t>Verifies CIG-editable fields stayed within the supplier-modifiable subset where Mode 3b applies.</w:t>
      </w:r>
    </w:p>
    <w:p>
      <w:pPr>
        <w:pStyle w:val="ListBullet"/>
        <w:spacing w:after="40"/>
      </w:pPr>
      <w:r>
        <w:t>On success, emits VARIANT_READY and the variant is registered as a TestDataSample.</w:t>
      </w:r>
    </w:p>
    <w:p>
      <w:pPr>
        <w:pStyle w:val="ListBullet"/>
        <w:spacing w:after="40"/>
      </w:pPr>
      <w:r>
        <w:t>On failure, returns structured diagnostics (missing element, schema violation, XPath miss) so the UI can show the gap and the user can re-plan.</w:t>
      </w:r>
    </w:p>
    <w:p>
      <w:pPr>
        <w:pStyle w:val="Heading1"/>
      </w:pPr>
      <w:r>
        <w:rPr>
          <w:rFonts w:ascii="Calibri" w:hAnsi="Calibri"/>
          <w:color w:val="145078"/>
        </w:rPr>
        <w:t>10. PII, versioning, and idempotency</w:t>
      </w:r>
    </w:p>
    <w:p>
      <w:pPr>
        <w:spacing w:after="80"/>
      </w:pPr>
      <w:r>
        <w:rPr>
          <w:b w:val="0"/>
          <w:i w:val="0"/>
        </w:rPr>
        <w:t>The Landscape sheet defaults PII to Yes. Retrieved POs typically contain real BillTo / ShipTo names, addresses, and contact details. The engine applies a redaction pass on ingest before persisting any CanonicalPO that the Generator may copy from. Redaction targets:</w:t>
      </w:r>
    </w:p>
    <w:p>
      <w:pPr>
        <w:pStyle w:val="ListBullet"/>
        <w:spacing w:after="40"/>
      </w:pPr>
      <w:r>
        <w:t>BillTo/ShipTo PostalAddress/Name → token "ACME-001" with deterministic hash for traceability.</w:t>
      </w:r>
    </w:p>
    <w:p>
      <w:pPr>
        <w:pStyle w:val="ListBullet"/>
        <w:spacing w:after="40"/>
      </w:pPr>
      <w:r>
        <w:t>Email/Phone elements → masked with realm-correct synthetic values.</w:t>
      </w:r>
    </w:p>
    <w:p>
      <w:pPr>
        <w:pStyle w:val="ListBullet"/>
        <w:spacing w:after="40"/>
      </w:pPr>
      <w:r>
        <w:t>Comments / Description fields scanned for free-text PII patterns (regex on email, phone, SSN-style).</w:t>
      </w:r>
    </w:p>
    <w:p>
      <w:pPr>
        <w:pStyle w:val="ListBullet"/>
        <w:spacing w:after="40"/>
      </w:pPr>
      <w:r>
        <w:t>orderID and supplier part IDs preserved (they are business identifiers, not PII).</w:t>
      </w:r>
    </w:p>
    <w:p>
      <w:pPr>
        <w:spacing w:after="80"/>
      </w:pPr>
      <w:r>
        <w:rPr>
          <w:b w:val="0"/>
          <w:i w:val="0"/>
        </w:rPr>
        <w:t>cXML version is pinned per scenario (default 1.2.045 from the latest annotated version in the golden template). The engine refuses to splice between mismatched versions; instead it reports a version gap to the UI so the user can pick a same-version base.</w:t>
      </w:r>
    </w:p>
    <w:p>
      <w:pPr>
        <w:spacing w:after="80"/>
      </w:pPr>
      <w:r>
        <w:rPr>
          <w:b w:val="0"/>
          <w:i w:val="0"/>
        </w:rPr>
        <w:t>Idempotency: every Generator call is keyed on (baseSourceId, targetScenarioId, mutationPlanHash). Identical inputs return the same TestDataSample id, preventing accidental duplicates in the payload library.</w:t>
      </w:r>
    </w:p>
    <w:p>
      <w:pPr>
        <w:pStyle w:val="Heading1"/>
      </w:pPr>
      <w:r>
        <w:rPr>
          <w:rFonts w:ascii="Calibri" w:hAnsi="Calibri"/>
          <w:color w:val="145078"/>
        </w:rPr>
        <w:t>11. Scenario → file → mutation traceability matrix</w:t>
      </w:r>
    </w:p>
    <w:p>
      <w:pPr>
        <w:spacing w:after="80"/>
      </w:pPr>
      <w:r>
        <w:rPr>
          <w:b w:val="0"/>
          <w:i w:val="0"/>
        </w:rPr>
        <w:t>This matrix shows, for a representative subset of the 35 scenarios, which static file supplies the rule, which fields the Mutator touches, and whether Mode B (mutate) or Mode C (splice) is used.</w:t>
      </w:r>
    </w:p>
    <w:tbl>
      <w:tblPr>
        <w:tblStyle w:val="LightGrid-Accent1"/>
        <w:tblW w:type="auto" w:w="0"/>
        <w:tblLayout w:type="fixed"/>
        <w:tblLook w:firstColumn="1" w:firstRow="1" w:lastColumn="0" w:lastRow="0" w:noHBand="0" w:noVBand="1" w:val="04A0"/>
      </w:tblPr>
      <w:tblGrid>
        <w:gridCol w:w="1973"/>
        <w:gridCol w:w="1973"/>
        <w:gridCol w:w="1973"/>
        <w:gridCol w:w="1973"/>
        <w:gridCol w:w="1973"/>
      </w:tblGrid>
      <w:tr>
        <w:tc>
          <w:tcPr>
            <w:tcW w:type="dxa" w:w="680"/>
            <w:shd w:val="clear" w:color="auto" w:fill="14507A"/>
          </w:tcPr>
          <w:p>
            <w:r/>
            <w:r>
              <w:rPr>
                <w:b/>
                <w:color w:val="FFFFFF"/>
                <w:sz w:val="20"/>
              </w:rPr>
              <w:t>ID</w:t>
            </w:r>
          </w:p>
        </w:tc>
        <w:tc>
          <w:tcPr>
            <w:tcW w:type="dxa" w:w="2551"/>
            <w:shd w:val="clear" w:color="auto" w:fill="14507A"/>
          </w:tcPr>
          <w:p>
            <w:r/>
            <w:r>
              <w:rPr>
                <w:b/>
                <w:color w:val="FFFFFF"/>
                <w:sz w:val="20"/>
              </w:rPr>
              <w:t>Scenario</w:t>
            </w:r>
          </w:p>
        </w:tc>
        <w:tc>
          <w:tcPr>
            <w:tcW w:type="dxa" w:w="2551"/>
            <w:shd w:val="clear" w:color="auto" w:fill="14507A"/>
          </w:tcPr>
          <w:p>
            <w:r/>
            <w:r>
              <w:rPr>
                <w:b/>
                <w:color w:val="FFFFFF"/>
                <w:sz w:val="20"/>
              </w:rPr>
              <w:t>Detector source</w:t>
            </w:r>
          </w:p>
        </w:tc>
        <w:tc>
          <w:tcPr>
            <w:tcW w:type="dxa" w:w="3969"/>
            <w:shd w:val="clear" w:color="auto" w:fill="14507A"/>
          </w:tcPr>
          <w:p>
            <w:r/>
            <w:r>
              <w:rPr>
                <w:b/>
                <w:color w:val="FFFFFF"/>
                <w:sz w:val="20"/>
              </w:rPr>
              <w:t>Mutator fields</w:t>
            </w:r>
          </w:p>
        </w:tc>
        <w:tc>
          <w:tcPr>
            <w:tcW w:type="dxa" w:w="2154"/>
            <w:shd w:val="clear" w:color="auto" w:fill="14507A"/>
          </w:tcPr>
          <w:p>
            <w:r/>
            <w:r>
              <w:rPr>
                <w:b/>
                <w:color w:val="FFFFFF"/>
                <w:sz w:val="20"/>
              </w:rPr>
              <w:t>Mode</w:t>
            </w:r>
          </w:p>
        </w:tc>
      </w:tr>
      <w:tr>
        <w:tc>
          <w:tcPr>
            <w:tcW w:type="dxa" w:w="680"/>
          </w:tcPr>
          <w:p>
            <w:r/>
            <w:r>
              <w:rPr>
                <w:sz w:val="19"/>
              </w:rPr>
              <w:t>1</w:t>
            </w:r>
          </w:p>
        </w:tc>
        <w:tc>
          <w:tcPr>
            <w:tcW w:type="dxa" w:w="2551"/>
          </w:tcPr>
          <w:p>
            <w:r/>
            <w:r>
              <w:rPr>
                <w:sz w:val="19"/>
              </w:rPr>
              <w:t>Standard PO</w:t>
            </w:r>
          </w:p>
        </w:tc>
        <w:tc>
          <w:tcPr>
            <w:tcW w:type="dxa" w:w="2551"/>
          </w:tcPr>
          <w:p>
            <w:r/>
            <w:r>
              <w:rPr>
                <w:sz w:val="19"/>
              </w:rPr>
              <w:t>scenarios.json #1</w:t>
            </w:r>
          </w:p>
        </w:tc>
        <w:tc>
          <w:tcPr>
            <w:tcW w:type="dxa" w:w="3969"/>
          </w:tcPr>
          <w:p>
            <w:r/>
            <w:r>
              <w:rPr>
                <w:sz w:val="19"/>
              </w:rPr>
              <w:t>orderID, line items</w:t>
            </w:r>
          </w:p>
        </w:tc>
        <w:tc>
          <w:tcPr>
            <w:tcW w:type="dxa" w:w="2154"/>
          </w:tcPr>
          <w:p>
            <w:r/>
            <w:r>
              <w:rPr>
                <w:sz w:val="19"/>
              </w:rPr>
              <w:t>B</w:t>
            </w:r>
          </w:p>
        </w:tc>
      </w:tr>
      <w:tr>
        <w:tc>
          <w:tcPr>
            <w:tcW w:type="dxa" w:w="680"/>
            <w:shd w:val="clear" w:color="auto" w:fill="F4F8FB"/>
          </w:tcPr>
          <w:p>
            <w:r/>
            <w:r>
              <w:rPr>
                <w:sz w:val="19"/>
              </w:rPr>
              <w:t>4</w:t>
            </w:r>
          </w:p>
        </w:tc>
        <w:tc>
          <w:tcPr>
            <w:tcW w:type="dxa" w:w="2551"/>
            <w:shd w:val="clear" w:color="auto" w:fill="F4F8FB"/>
          </w:tcPr>
          <w:p>
            <w:r/>
            <w:r>
              <w:rPr>
                <w:sz w:val="19"/>
              </w:rPr>
              <w:t>Change Order</w:t>
            </w:r>
          </w:p>
        </w:tc>
        <w:tc>
          <w:tcPr>
            <w:tcW w:type="dxa" w:w="2551"/>
            <w:shd w:val="clear" w:color="auto" w:fill="F4F8FB"/>
          </w:tcPr>
          <w:p>
            <w:r/>
            <w:r>
              <w:rPr>
                <w:sz w:val="19"/>
              </w:rPr>
              <w:t>scenarios.json #4</w:t>
            </w:r>
          </w:p>
        </w:tc>
        <w:tc>
          <w:tcPr>
            <w:tcW w:type="dxa" w:w="3969"/>
            <w:shd w:val="clear" w:color="auto" w:fill="F4F8FB"/>
          </w:tcPr>
          <w:p>
            <w:r/>
            <w:r>
              <w:rPr>
                <w:sz w:val="19"/>
              </w:rPr>
              <w:t>OrderRequestHeader/@type=update</w:t>
            </w:r>
          </w:p>
        </w:tc>
        <w:tc>
          <w:tcPr>
            <w:tcW w:type="dxa" w:w="2154"/>
            <w:shd w:val="clear" w:color="auto" w:fill="F4F8FB"/>
          </w:tcPr>
          <w:p>
            <w:r/>
            <w:r>
              <w:rPr>
                <w:sz w:val="19"/>
              </w:rPr>
              <w:t>B</w:t>
            </w:r>
          </w:p>
        </w:tc>
      </w:tr>
      <w:tr>
        <w:tc>
          <w:tcPr>
            <w:tcW w:type="dxa" w:w="680"/>
          </w:tcPr>
          <w:p>
            <w:r/>
            <w:r>
              <w:rPr>
                <w:sz w:val="19"/>
              </w:rPr>
              <w:t>5</w:t>
            </w:r>
          </w:p>
        </w:tc>
        <w:tc>
          <w:tcPr>
            <w:tcW w:type="dxa" w:w="2551"/>
          </w:tcPr>
          <w:p>
            <w:r/>
            <w:r>
              <w:rPr>
                <w:sz w:val="19"/>
              </w:rPr>
              <w:t>PO Cancellation</w:t>
            </w:r>
          </w:p>
        </w:tc>
        <w:tc>
          <w:tcPr>
            <w:tcW w:type="dxa" w:w="2551"/>
          </w:tcPr>
          <w:p>
            <w:r/>
            <w:r>
              <w:rPr>
                <w:sz w:val="19"/>
              </w:rPr>
              <w:t>scenarios.json #5</w:t>
            </w:r>
          </w:p>
        </w:tc>
        <w:tc>
          <w:tcPr>
            <w:tcW w:type="dxa" w:w="3969"/>
          </w:tcPr>
          <w:p>
            <w:r/>
            <w:r>
              <w:rPr>
                <w:sz w:val="19"/>
              </w:rPr>
              <w:t>OrderRequestHeader/@type=delete</w:t>
            </w:r>
          </w:p>
        </w:tc>
        <w:tc>
          <w:tcPr>
            <w:tcW w:type="dxa" w:w="2154"/>
          </w:tcPr>
          <w:p>
            <w:r/>
            <w:r>
              <w:rPr>
                <w:sz w:val="19"/>
              </w:rPr>
              <w:t>B</w:t>
            </w:r>
          </w:p>
        </w:tc>
      </w:tr>
      <w:tr>
        <w:tc>
          <w:tcPr>
            <w:tcW w:type="dxa" w:w="680"/>
            <w:shd w:val="clear" w:color="auto" w:fill="F4F8FB"/>
          </w:tcPr>
          <w:p>
            <w:r/>
            <w:r>
              <w:rPr>
                <w:sz w:val="19"/>
              </w:rPr>
              <w:t>8</w:t>
            </w:r>
          </w:p>
        </w:tc>
        <w:tc>
          <w:tcPr>
            <w:tcW w:type="dxa" w:w="2551"/>
            <w:shd w:val="clear" w:color="auto" w:fill="F4F8FB"/>
          </w:tcPr>
          <w:p>
            <w:r/>
            <w:r>
              <w:rPr>
                <w:sz w:val="19"/>
              </w:rPr>
              <w:t>Multi-Currency PO</w:t>
            </w:r>
          </w:p>
        </w:tc>
        <w:tc>
          <w:tcPr>
            <w:tcW w:type="dxa" w:w="2551"/>
            <w:shd w:val="clear" w:color="auto" w:fill="F4F8FB"/>
          </w:tcPr>
          <w:p>
            <w:r/>
            <w:r>
              <w:rPr>
                <w:sz w:val="19"/>
              </w:rPr>
              <w:t>scenarios.json #8</w:t>
            </w:r>
          </w:p>
        </w:tc>
        <w:tc>
          <w:tcPr>
            <w:tcW w:type="dxa" w:w="3969"/>
            <w:shd w:val="clear" w:color="auto" w:fill="F4F8FB"/>
          </w:tcPr>
          <w:p>
            <w:r/>
            <w:r>
              <w:rPr>
                <w:sz w:val="19"/>
              </w:rPr>
              <w:t>Money/@currency (multiple values)</w:t>
            </w:r>
          </w:p>
        </w:tc>
        <w:tc>
          <w:tcPr>
            <w:tcW w:type="dxa" w:w="2154"/>
            <w:shd w:val="clear" w:color="auto" w:fill="F4F8FB"/>
          </w:tcPr>
          <w:p>
            <w:r/>
            <w:r>
              <w:rPr>
                <w:sz w:val="19"/>
              </w:rPr>
              <w:t>B</w:t>
            </w:r>
          </w:p>
        </w:tc>
      </w:tr>
      <w:tr>
        <w:tc>
          <w:tcPr>
            <w:tcW w:type="dxa" w:w="680"/>
          </w:tcPr>
          <w:p>
            <w:r/>
            <w:r>
              <w:rPr>
                <w:sz w:val="19"/>
              </w:rPr>
              <w:t>9</w:t>
            </w:r>
          </w:p>
        </w:tc>
        <w:tc>
          <w:tcPr>
            <w:tcW w:type="dxa" w:w="2551"/>
          </w:tcPr>
          <w:p>
            <w:r/>
            <w:r>
              <w:rPr>
                <w:sz w:val="19"/>
              </w:rPr>
              <w:t>Tax-Inclusive PO</w:t>
            </w:r>
          </w:p>
        </w:tc>
        <w:tc>
          <w:tcPr>
            <w:tcW w:type="dxa" w:w="2551"/>
          </w:tcPr>
          <w:p>
            <w:r/>
            <w:r>
              <w:rPr>
                <w:sz w:val="19"/>
              </w:rPr>
              <w:t>scenarios.json #9</w:t>
            </w:r>
          </w:p>
        </w:tc>
        <w:tc>
          <w:tcPr>
            <w:tcW w:type="dxa" w:w="3969"/>
          </w:tcPr>
          <w:p>
            <w:r/>
            <w:r>
              <w:rPr>
                <w:sz w:val="19"/>
              </w:rPr>
              <w:t>Tax / TaxDetail subtree</w:t>
            </w:r>
          </w:p>
        </w:tc>
        <w:tc>
          <w:tcPr>
            <w:tcW w:type="dxa" w:w="2154"/>
          </w:tcPr>
          <w:p>
            <w:r/>
            <w:r>
              <w:rPr>
                <w:sz w:val="19"/>
              </w:rPr>
              <w:t>C (splice from template)</w:t>
            </w:r>
          </w:p>
        </w:tc>
      </w:tr>
      <w:tr>
        <w:tc>
          <w:tcPr>
            <w:tcW w:type="dxa" w:w="680"/>
            <w:shd w:val="clear" w:color="auto" w:fill="F4F8FB"/>
          </w:tcPr>
          <w:p>
            <w:r/>
            <w:r>
              <w:rPr>
                <w:sz w:val="19"/>
              </w:rPr>
              <w:t>12</w:t>
            </w:r>
          </w:p>
        </w:tc>
        <w:tc>
          <w:tcPr>
            <w:tcW w:type="dxa" w:w="2551"/>
            <w:shd w:val="clear" w:color="auto" w:fill="F4F8FB"/>
          </w:tcPr>
          <w:p>
            <w:r/>
            <w:r>
              <w:rPr>
                <w:sz w:val="19"/>
              </w:rPr>
              <w:t>Multi-Line PO</w:t>
            </w:r>
          </w:p>
        </w:tc>
        <w:tc>
          <w:tcPr>
            <w:tcW w:type="dxa" w:w="2551"/>
            <w:shd w:val="clear" w:color="auto" w:fill="F4F8FB"/>
          </w:tcPr>
          <w:p>
            <w:r/>
            <w:r>
              <w:rPr>
                <w:sz w:val="19"/>
              </w:rPr>
              <w:t>scenarios.json #12</w:t>
            </w:r>
          </w:p>
        </w:tc>
        <w:tc>
          <w:tcPr>
            <w:tcW w:type="dxa" w:w="3969"/>
            <w:shd w:val="clear" w:color="auto" w:fill="F4F8FB"/>
          </w:tcPr>
          <w:p>
            <w:r/>
            <w:r>
              <w:rPr>
                <w:sz w:val="19"/>
              </w:rPr>
              <w:t>ItemOut count &gt; 1; lineNumber auto-inc</w:t>
            </w:r>
          </w:p>
        </w:tc>
        <w:tc>
          <w:tcPr>
            <w:tcW w:type="dxa" w:w="2154"/>
            <w:shd w:val="clear" w:color="auto" w:fill="F4F8FB"/>
          </w:tcPr>
          <w:p>
            <w:r/>
            <w:r>
              <w:rPr>
                <w:sz w:val="19"/>
              </w:rPr>
              <w:t>B (often) / C (if base has 1 line)</w:t>
            </w:r>
          </w:p>
        </w:tc>
      </w:tr>
      <w:tr>
        <w:tc>
          <w:tcPr>
            <w:tcW w:type="dxa" w:w="680"/>
          </w:tcPr>
          <w:p>
            <w:r/>
            <w:r>
              <w:rPr>
                <w:sz w:val="19"/>
              </w:rPr>
              <w:t>16</w:t>
            </w:r>
          </w:p>
        </w:tc>
        <w:tc>
          <w:tcPr>
            <w:tcW w:type="dxa" w:w="2551"/>
          </w:tcPr>
          <w:p>
            <w:r/>
            <w:r>
              <w:rPr>
                <w:sz w:val="19"/>
              </w:rPr>
              <w:t>Subcontracting PO</w:t>
            </w:r>
          </w:p>
        </w:tc>
        <w:tc>
          <w:tcPr>
            <w:tcW w:type="dxa" w:w="2551"/>
          </w:tcPr>
          <w:p>
            <w:r/>
            <w:r>
              <w:rPr>
                <w:sz w:val="19"/>
              </w:rPr>
              <w:t>scenarios.json #16</w:t>
            </w:r>
          </w:p>
        </w:tc>
        <w:tc>
          <w:tcPr>
            <w:tcW w:type="dxa" w:w="3969"/>
          </w:tcPr>
          <w:p>
            <w:r/>
            <w:r>
              <w:rPr>
                <w:sz w:val="19"/>
              </w:rPr>
              <w:t>ComponentGroup</w:t>
            </w:r>
          </w:p>
        </w:tc>
        <w:tc>
          <w:tcPr>
            <w:tcW w:type="dxa" w:w="2154"/>
          </w:tcPr>
          <w:p>
            <w:r/>
            <w:r>
              <w:rPr>
                <w:sz w:val="19"/>
              </w:rPr>
              <w:t>C (splice)</w:t>
            </w:r>
          </w:p>
        </w:tc>
      </w:tr>
      <w:tr>
        <w:tc>
          <w:tcPr>
            <w:tcW w:type="dxa" w:w="680"/>
            <w:shd w:val="clear" w:color="auto" w:fill="F4F8FB"/>
          </w:tcPr>
          <w:p>
            <w:r/>
            <w:r>
              <w:rPr>
                <w:sz w:val="19"/>
              </w:rPr>
              <w:t>19</w:t>
            </w:r>
          </w:p>
        </w:tc>
        <w:tc>
          <w:tcPr>
            <w:tcW w:type="dxa" w:w="2551"/>
            <w:shd w:val="clear" w:color="auto" w:fill="F4F8FB"/>
          </w:tcPr>
          <w:p>
            <w:r/>
            <w:r>
              <w:rPr>
                <w:sz w:val="19"/>
              </w:rPr>
              <w:t>Multi-Ship-To</w:t>
            </w:r>
          </w:p>
        </w:tc>
        <w:tc>
          <w:tcPr>
            <w:tcW w:type="dxa" w:w="2551"/>
            <w:shd w:val="clear" w:color="auto" w:fill="F4F8FB"/>
          </w:tcPr>
          <w:p>
            <w:r/>
            <w:r>
              <w:rPr>
                <w:sz w:val="19"/>
              </w:rPr>
              <w:t>scenarios.json #19</w:t>
            </w:r>
          </w:p>
        </w:tc>
        <w:tc>
          <w:tcPr>
            <w:tcW w:type="dxa" w:w="3969"/>
            <w:shd w:val="clear" w:color="auto" w:fill="F4F8FB"/>
          </w:tcPr>
          <w:p>
            <w:r/>
            <w:r>
              <w:rPr>
                <w:sz w:val="19"/>
              </w:rPr>
              <w:t>ShipTo with distinct addressIDs</w:t>
            </w:r>
          </w:p>
        </w:tc>
        <w:tc>
          <w:tcPr>
            <w:tcW w:type="dxa" w:w="2154"/>
            <w:shd w:val="clear" w:color="auto" w:fill="F4F8FB"/>
          </w:tcPr>
          <w:p>
            <w:r/>
            <w:r>
              <w:rPr>
                <w:sz w:val="19"/>
              </w:rPr>
              <w:t>C (splice)</w:t>
            </w:r>
          </w:p>
        </w:tc>
      </w:tr>
      <w:tr>
        <w:tc>
          <w:tcPr>
            <w:tcW w:type="dxa" w:w="680"/>
          </w:tcPr>
          <w:p>
            <w:r/>
            <w:r>
              <w:rPr>
                <w:sz w:val="19"/>
              </w:rPr>
              <w:t>25</w:t>
            </w:r>
          </w:p>
        </w:tc>
        <w:tc>
          <w:tcPr>
            <w:tcW w:type="dxa" w:w="2551"/>
          </w:tcPr>
          <w:p>
            <w:r/>
            <w:r>
              <w:rPr>
                <w:sz w:val="19"/>
              </w:rPr>
              <w:t>Limit PO</w:t>
            </w:r>
          </w:p>
        </w:tc>
        <w:tc>
          <w:tcPr>
            <w:tcW w:type="dxa" w:w="2551"/>
          </w:tcPr>
          <w:p>
            <w:r/>
            <w:r>
              <w:rPr>
                <w:sz w:val="19"/>
              </w:rPr>
              <w:t>scenarios.json #25</w:t>
            </w:r>
          </w:p>
        </w:tc>
        <w:tc>
          <w:tcPr>
            <w:tcW w:type="dxa" w:w="3969"/>
          </w:tcPr>
          <w:p>
            <w:r/>
            <w:r>
              <w:rPr>
                <w:sz w:val="19"/>
              </w:rPr>
              <w:t>Extrinsic[LimitAmount], quantity=1</w:t>
            </w:r>
          </w:p>
        </w:tc>
        <w:tc>
          <w:tcPr>
            <w:tcW w:type="dxa" w:w="2154"/>
          </w:tcPr>
          <w:p>
            <w:r/>
            <w:r>
              <w:rPr>
                <w:sz w:val="19"/>
              </w:rPr>
              <w:t>B</w:t>
            </w:r>
          </w:p>
        </w:tc>
      </w:tr>
      <w:tr>
        <w:tc>
          <w:tcPr>
            <w:tcW w:type="dxa" w:w="680"/>
            <w:shd w:val="clear" w:color="auto" w:fill="F4F8FB"/>
          </w:tcPr>
          <w:p>
            <w:r/>
            <w:r>
              <w:rPr>
                <w:sz w:val="19"/>
              </w:rPr>
              <w:t>26</w:t>
            </w:r>
          </w:p>
        </w:tc>
        <w:tc>
          <w:tcPr>
            <w:tcW w:type="dxa" w:w="2551"/>
            <w:shd w:val="clear" w:color="auto" w:fill="F4F8FB"/>
          </w:tcPr>
          <w:p>
            <w:r/>
            <w:r>
              <w:rPr>
                <w:sz w:val="19"/>
              </w:rPr>
              <w:t>Zero-Value PO</w:t>
            </w:r>
          </w:p>
        </w:tc>
        <w:tc>
          <w:tcPr>
            <w:tcW w:type="dxa" w:w="2551"/>
            <w:shd w:val="clear" w:color="auto" w:fill="F4F8FB"/>
          </w:tcPr>
          <w:p>
            <w:r/>
            <w:r>
              <w:rPr>
                <w:sz w:val="19"/>
              </w:rPr>
              <w:t>scenarios.json #26</w:t>
            </w:r>
          </w:p>
        </w:tc>
        <w:tc>
          <w:tcPr>
            <w:tcW w:type="dxa" w:w="3969"/>
            <w:shd w:val="clear" w:color="auto" w:fill="F4F8FB"/>
          </w:tcPr>
          <w:p>
            <w:r/>
            <w:r>
              <w:rPr>
                <w:sz w:val="19"/>
              </w:rPr>
              <w:t>UnitPrice/Money = 0</w:t>
            </w:r>
          </w:p>
        </w:tc>
        <w:tc>
          <w:tcPr>
            <w:tcW w:type="dxa" w:w="2154"/>
            <w:shd w:val="clear" w:color="auto" w:fill="F4F8FB"/>
          </w:tcPr>
          <w:p>
            <w:r/>
            <w:r>
              <w:rPr>
                <w:sz w:val="19"/>
              </w:rPr>
              <w:t>B</w:t>
            </w:r>
          </w:p>
        </w:tc>
      </w:tr>
      <w:tr>
        <w:tc>
          <w:tcPr>
            <w:tcW w:type="dxa" w:w="680"/>
          </w:tcPr>
          <w:p>
            <w:r/>
            <w:r>
              <w:rPr>
                <w:sz w:val="19"/>
              </w:rPr>
              <w:t>27</w:t>
            </w:r>
          </w:p>
        </w:tc>
        <w:tc>
          <w:tcPr>
            <w:tcW w:type="dxa" w:w="2551"/>
          </w:tcPr>
          <w:p>
            <w:r/>
            <w:r>
              <w:rPr>
                <w:sz w:val="19"/>
              </w:rPr>
              <w:t>Intercompany</w:t>
            </w:r>
          </w:p>
        </w:tc>
        <w:tc>
          <w:tcPr>
            <w:tcW w:type="dxa" w:w="2551"/>
          </w:tcPr>
          <w:p>
            <w:r/>
            <w:r>
              <w:rPr>
                <w:sz w:val="19"/>
              </w:rPr>
              <w:t>scenarios.json #27</w:t>
            </w:r>
          </w:p>
        </w:tc>
        <w:tc>
          <w:tcPr>
            <w:tcW w:type="dxa" w:w="3969"/>
          </w:tcPr>
          <w:p>
            <w:r/>
            <w:r>
              <w:rPr>
                <w:sz w:val="19"/>
              </w:rPr>
              <w:t>Extrinsic[IntercompanyIndicator]</w:t>
            </w:r>
          </w:p>
        </w:tc>
        <w:tc>
          <w:tcPr>
            <w:tcW w:type="dxa" w:w="2154"/>
          </w:tcPr>
          <w:p>
            <w:r/>
            <w:r>
              <w:rPr>
                <w:sz w:val="19"/>
              </w:rPr>
              <w:t>B</w:t>
            </w:r>
          </w:p>
        </w:tc>
      </w:tr>
      <w:tr>
        <w:tc>
          <w:tcPr>
            <w:tcW w:type="dxa" w:w="680"/>
            <w:shd w:val="clear" w:color="auto" w:fill="F4F8FB"/>
          </w:tcPr>
          <w:p>
            <w:r/>
            <w:r>
              <w:rPr>
                <w:sz w:val="19"/>
              </w:rPr>
              <w:t>30</w:t>
            </w:r>
          </w:p>
        </w:tc>
        <w:tc>
          <w:tcPr>
            <w:tcW w:type="dxa" w:w="2551"/>
            <w:shd w:val="clear" w:color="auto" w:fill="F4F8FB"/>
          </w:tcPr>
          <w:p>
            <w:r/>
            <w:r>
              <w:rPr>
                <w:sz w:val="19"/>
              </w:rPr>
              <w:t>PO with Attachments</w:t>
            </w:r>
          </w:p>
        </w:tc>
        <w:tc>
          <w:tcPr>
            <w:tcW w:type="dxa" w:w="2551"/>
            <w:shd w:val="clear" w:color="auto" w:fill="F4F8FB"/>
          </w:tcPr>
          <w:p>
            <w:r/>
            <w:r>
              <w:rPr>
                <w:sz w:val="19"/>
              </w:rPr>
              <w:t>scenarios.json #30</w:t>
            </w:r>
          </w:p>
        </w:tc>
        <w:tc>
          <w:tcPr>
            <w:tcW w:type="dxa" w:w="3969"/>
            <w:shd w:val="clear" w:color="auto" w:fill="F4F8FB"/>
          </w:tcPr>
          <w:p>
            <w:r/>
            <w:r>
              <w:rPr>
                <w:sz w:val="19"/>
              </w:rPr>
              <w:t>Attachment / Comments/Attachment</w:t>
            </w:r>
          </w:p>
        </w:tc>
        <w:tc>
          <w:tcPr>
            <w:tcW w:type="dxa" w:w="2154"/>
            <w:shd w:val="clear" w:color="auto" w:fill="F4F8FB"/>
          </w:tcPr>
          <w:p>
            <w:r/>
            <w:r>
              <w:rPr>
                <w:sz w:val="19"/>
              </w:rPr>
              <w:t>C (splice)</w:t>
            </w:r>
          </w:p>
        </w:tc>
      </w:tr>
      <w:tr>
        <w:tc>
          <w:tcPr>
            <w:tcW w:type="dxa" w:w="680"/>
          </w:tcPr>
          <w:p>
            <w:r/>
            <w:r>
              <w:rPr>
                <w:sz w:val="19"/>
              </w:rPr>
              <w:t>34</w:t>
            </w:r>
          </w:p>
        </w:tc>
        <w:tc>
          <w:tcPr>
            <w:tcW w:type="dxa" w:w="2551"/>
          </w:tcPr>
          <w:p>
            <w:r/>
            <w:r>
              <w:rPr>
                <w:sz w:val="19"/>
              </w:rPr>
              <w:t>STO</w:t>
            </w:r>
          </w:p>
        </w:tc>
        <w:tc>
          <w:tcPr>
            <w:tcW w:type="dxa" w:w="2551"/>
          </w:tcPr>
          <w:p>
            <w:r/>
            <w:r>
              <w:rPr>
                <w:sz w:val="19"/>
              </w:rPr>
              <w:t>scenarios.json #34</w:t>
            </w:r>
          </w:p>
        </w:tc>
        <w:tc>
          <w:tcPr>
            <w:tcW w:type="dxa" w:w="3969"/>
          </w:tcPr>
          <w:p>
            <w:r/>
            <w:r>
              <w:rPr>
                <w:sz w:val="19"/>
              </w:rPr>
              <w:t>Extrinsic[StockTransportOrder]</w:t>
            </w:r>
          </w:p>
        </w:tc>
        <w:tc>
          <w:tcPr>
            <w:tcW w:type="dxa" w:w="2154"/>
          </w:tcPr>
          <w:p>
            <w:r/>
            <w:r>
              <w:rPr>
                <w:sz w:val="19"/>
              </w:rPr>
              <w:t>B</w:t>
            </w:r>
          </w:p>
        </w:tc>
      </w:tr>
      <w:tr>
        <w:tc>
          <w:tcPr>
            <w:tcW w:type="dxa" w:w="680"/>
            <w:shd w:val="clear" w:color="auto" w:fill="F4F8FB"/>
          </w:tcPr>
          <w:p>
            <w:r/>
            <w:r>
              <w:rPr>
                <w:sz w:val="19"/>
              </w:rPr>
              <w:t>35</w:t>
            </w:r>
          </w:p>
        </w:tc>
        <w:tc>
          <w:tcPr>
            <w:tcW w:type="dxa" w:w="2551"/>
            <w:shd w:val="clear" w:color="auto" w:fill="F4F8FB"/>
          </w:tcPr>
          <w:p>
            <w:r/>
            <w:r>
              <w:rPr>
                <w:sz w:val="19"/>
              </w:rPr>
              <w:t>Asset PO</w:t>
            </w:r>
          </w:p>
        </w:tc>
        <w:tc>
          <w:tcPr>
            <w:tcW w:type="dxa" w:w="2551"/>
            <w:shd w:val="clear" w:color="auto" w:fill="F4F8FB"/>
          </w:tcPr>
          <w:p>
            <w:r/>
            <w:r>
              <w:rPr>
                <w:sz w:val="19"/>
              </w:rPr>
              <w:t>scenarios.json #35</w:t>
            </w:r>
          </w:p>
        </w:tc>
        <w:tc>
          <w:tcPr>
            <w:tcW w:type="dxa" w:w="3969"/>
            <w:shd w:val="clear" w:color="auto" w:fill="F4F8FB"/>
          </w:tcPr>
          <w:p>
            <w:r/>
            <w:r>
              <w:rPr>
                <w:sz w:val="19"/>
              </w:rPr>
              <w:t>ItemDetail/AssetInfo</w:t>
            </w:r>
          </w:p>
        </w:tc>
        <w:tc>
          <w:tcPr>
            <w:tcW w:type="dxa" w:w="2154"/>
            <w:shd w:val="clear" w:color="auto" w:fill="F4F8FB"/>
          </w:tcPr>
          <w:p>
            <w:r/>
            <w:r>
              <w:rPr>
                <w:sz w:val="19"/>
              </w:rPr>
              <w:t>C (splice)</w:t>
            </w:r>
          </w:p>
        </w:tc>
      </w:tr>
    </w:tbl>
    <w:p>
      <w:pPr>
        <w:pStyle w:val="Heading1"/>
      </w:pPr>
      <w:r>
        <w:rPr>
          <w:rFonts w:ascii="Calibri" w:hAnsi="Calibri"/>
          <w:color w:val="145078"/>
        </w:rPr>
        <w:t>12. AIA extension — concrete integration points</w:t>
      </w:r>
    </w:p>
    <w:p>
      <w:pPr>
        <w:spacing w:after="80"/>
      </w:pPr>
      <w:r>
        <w:rPr>
          <w:b w:val="0"/>
          <w:i w:val="0"/>
        </w:rPr>
        <w:t>The engine plugs into the existing AIA Chrome extension without disturbing current functionality. Five concrete touchpoints are required:</w:t>
      </w:r>
    </w:p>
    <w:tbl>
      <w:tblPr>
        <w:tblStyle w:val="LightGrid-Accent1"/>
        <w:tblW w:type="auto" w:w="0"/>
        <w:tblLayout w:type="fixed"/>
        <w:tblLook w:firstColumn="1" w:firstRow="1" w:lastColumn="0" w:lastRow="0" w:noHBand="0" w:noVBand="1" w:val="04A0"/>
      </w:tblPr>
      <w:tblGrid>
        <w:gridCol w:w="3289"/>
        <w:gridCol w:w="3289"/>
        <w:gridCol w:w="3289"/>
      </w:tblGrid>
      <w:tr>
        <w:tc>
          <w:tcPr>
            <w:tcW w:type="dxa" w:w="3118"/>
            <w:shd w:val="clear" w:color="auto" w:fill="14507A"/>
          </w:tcPr>
          <w:p>
            <w:r/>
            <w:r>
              <w:rPr>
                <w:b/>
                <w:color w:val="FFFFFF"/>
                <w:sz w:val="20"/>
              </w:rPr>
              <w:t>Existing component</w:t>
            </w:r>
          </w:p>
        </w:tc>
        <w:tc>
          <w:tcPr>
            <w:tcW w:type="dxa" w:w="4819"/>
            <w:shd w:val="clear" w:color="auto" w:fill="14507A"/>
          </w:tcPr>
          <w:p>
            <w:r/>
            <w:r>
              <w:rPr>
                <w:b/>
                <w:color w:val="FFFFFF"/>
                <w:sz w:val="20"/>
              </w:rPr>
              <w:t>Change required</w:t>
            </w:r>
          </w:p>
        </w:tc>
        <w:tc>
          <w:tcPr>
            <w:tcW w:type="dxa" w:w="3685"/>
            <w:shd w:val="clear" w:color="auto" w:fill="14507A"/>
          </w:tcPr>
          <w:p>
            <w:r/>
            <w:r>
              <w:rPr>
                <w:b/>
                <w:color w:val="FFFFFF"/>
                <w:sz w:val="20"/>
              </w:rPr>
              <w:t>Reason</w:t>
            </w:r>
          </w:p>
        </w:tc>
      </w:tr>
      <w:tr>
        <w:tc>
          <w:tcPr>
            <w:tcW w:type="dxa" w:w="3118"/>
          </w:tcPr>
          <w:p>
            <w:r/>
            <w:r>
              <w:rPr>
                <w:sz w:val="19"/>
              </w:rPr>
              <w:t>manifest.json</w:t>
            </w:r>
          </w:p>
        </w:tc>
        <w:tc>
          <w:tcPr>
            <w:tcW w:type="dxa" w:w="4819"/>
          </w:tcPr>
          <w:p>
            <w:r/>
            <w:r>
              <w:rPr>
                <w:sz w:val="19"/>
              </w:rPr>
              <w:t>Add bundled assets path (data/ai2e/*) and host permissions for the buyer test endpoints if Runner pushes outside service.ariba.com.</w:t>
            </w:r>
          </w:p>
        </w:tc>
        <w:tc>
          <w:tcPr>
            <w:tcW w:type="dxa" w:w="3685"/>
          </w:tcPr>
          <w:p>
            <w:r/>
            <w:r>
              <w:rPr>
                <w:sz w:val="19"/>
              </w:rPr>
              <w:t>Static catalogs must be packaged; cross-origin pushes need host_permissions.</w:t>
            </w:r>
          </w:p>
        </w:tc>
      </w:tr>
      <w:tr>
        <w:tc>
          <w:tcPr>
            <w:tcW w:type="dxa" w:w="3118"/>
            <w:shd w:val="clear" w:color="auto" w:fill="F4F8FB"/>
          </w:tcPr>
          <w:p>
            <w:r/>
            <w:r>
              <w:rPr>
                <w:sz w:val="19"/>
              </w:rPr>
              <w:t>background.js</w:t>
            </w:r>
          </w:p>
        </w:tc>
        <w:tc>
          <w:tcPr>
            <w:tcW w:type="dxa" w:w="4819"/>
            <w:shd w:val="clear" w:color="auto" w:fill="F4F8FB"/>
          </w:tcPr>
          <w:p>
            <w:r/>
            <w:r>
              <w:rPr>
                <w:sz w:val="19"/>
              </w:rPr>
              <w:t>Register the seven AI2E_* message routes from §8. Bootstrap loads scenarios.json, modifiable-fields.json, lists.json into a memory cache.</w:t>
            </w:r>
          </w:p>
        </w:tc>
        <w:tc>
          <w:tcPr>
            <w:tcW w:type="dxa" w:w="3685"/>
            <w:shd w:val="clear" w:color="auto" w:fill="F4F8FB"/>
          </w:tcPr>
          <w:p>
            <w:r/>
            <w:r>
              <w:rPr>
                <w:sz w:val="19"/>
              </w:rPr>
              <w:t>All cross-origin work goes through the service worker; existing pattern.</w:t>
            </w:r>
          </w:p>
        </w:tc>
      </w:tr>
      <w:tr>
        <w:tc>
          <w:tcPr>
            <w:tcW w:type="dxa" w:w="3118"/>
          </w:tcPr>
          <w:p>
            <w:r/>
            <w:r>
              <w:rPr>
                <w:sz w:val="19"/>
              </w:rPr>
              <w:t>content.js</w:t>
            </w:r>
          </w:p>
        </w:tc>
        <w:tc>
          <w:tcPr>
            <w:tcW w:type="dxa" w:w="4819"/>
          </w:tcPr>
          <w:p>
            <w:r/>
            <w:r>
              <w:rPr>
                <w:sz w:val="19"/>
              </w:rPr>
              <w:t>Add DOM-scrape branch for SourceAdapter mode 4d-C (read PO views on service.ariba.com).</w:t>
            </w:r>
          </w:p>
        </w:tc>
        <w:tc>
          <w:tcPr>
            <w:tcW w:type="dxa" w:w="3685"/>
          </w:tcPr>
          <w:p>
            <w:r/>
            <w:r>
              <w:rPr>
                <w:sz w:val="19"/>
              </w:rPr>
              <w:t>Aligns with existing context detection cascade.</w:t>
            </w:r>
          </w:p>
        </w:tc>
      </w:tr>
      <w:tr>
        <w:tc>
          <w:tcPr>
            <w:tcW w:type="dxa" w:w="3118"/>
            <w:shd w:val="clear" w:color="auto" w:fill="F4F8FB"/>
          </w:tcPr>
          <w:p>
            <w:r/>
            <w:r>
              <w:rPr>
                <w:sz w:val="19"/>
              </w:rPr>
              <w:t>sidepanel.html / sidepanel.js — AI Tab</w:t>
            </w:r>
          </w:p>
        </w:tc>
        <w:tc>
          <w:tcPr>
            <w:tcW w:type="dxa" w:w="4819"/>
            <w:shd w:val="clear" w:color="auto" w:fill="F4F8FB"/>
          </w:tcPr>
          <w:p>
            <w:r/>
            <w:r>
              <w:rPr>
                <w:sz w:val="19"/>
              </w:rPr>
              <w:t>Add Retrieval pane (list source POs, classification badges) and Analyzer pane (scenario picker, plan preview, generate button, diff view).</w:t>
            </w:r>
          </w:p>
        </w:tc>
        <w:tc>
          <w:tcPr>
            <w:tcW w:type="dxa" w:w="3685"/>
            <w:shd w:val="clear" w:color="auto" w:fill="F4F8FB"/>
          </w:tcPr>
          <w:p>
            <w:r/>
            <w:r>
              <w:rPr>
                <w:sz w:val="19"/>
              </w:rPr>
              <w:t>This is the user-facing surface for the engine.</w:t>
            </w:r>
          </w:p>
        </w:tc>
      </w:tr>
      <w:tr>
        <w:tc>
          <w:tcPr>
            <w:tcW w:type="dxa" w:w="3118"/>
          </w:tcPr>
          <w:p>
            <w:r/>
            <w:r>
              <w:rPr>
                <w:sz w:val="19"/>
              </w:rPr>
              <w:t>data/schema.js</w:t>
            </w:r>
          </w:p>
        </w:tc>
        <w:tc>
          <w:tcPr>
            <w:tcW w:type="dxa" w:w="4819"/>
          </w:tcPr>
          <w:p>
            <w:r/>
            <w:r>
              <w:rPr>
                <w:sz w:val="19"/>
              </w:rPr>
              <w:t>Extend storage schema to include the runtime collections from §7.2.</w:t>
            </w:r>
          </w:p>
        </w:tc>
        <w:tc>
          <w:tcPr>
            <w:tcW w:type="dxa" w:w="3685"/>
          </w:tcPr>
          <w:p>
            <w:r/>
            <w:r>
              <w:rPr>
                <w:sz w:val="19"/>
              </w:rPr>
              <w:t>Existing migration logic handles version bumps cleanly.</w:t>
            </w:r>
          </w:p>
        </w:tc>
      </w:tr>
    </w:tbl>
    <w:p>
      <w:pPr>
        <w:pStyle w:val="Heading1"/>
      </w:pPr>
      <w:r>
        <w:rPr>
          <w:rFonts w:ascii="Calibri" w:hAnsi="Calibri"/>
          <w:color w:val="145078"/>
        </w:rPr>
        <w:t>13. Risks, constraints, and open items</w:t>
      </w:r>
    </w:p>
    <w:tbl>
      <w:tblPr>
        <w:tblStyle w:val="LightGrid-Accent1"/>
        <w:tblW w:type="auto" w:w="0"/>
        <w:tblLayout w:type="fixed"/>
        <w:tblLook w:firstColumn="1" w:firstRow="1" w:lastColumn="0" w:lastRow="0" w:noHBand="0" w:noVBand="1" w:val="04A0"/>
      </w:tblPr>
      <w:tblGrid>
        <w:gridCol w:w="3289"/>
        <w:gridCol w:w="3289"/>
        <w:gridCol w:w="3289"/>
      </w:tblGrid>
      <w:tr>
        <w:tc>
          <w:tcPr>
            <w:tcW w:type="dxa" w:w="3402"/>
            <w:shd w:val="clear" w:color="auto" w:fill="14507A"/>
          </w:tcPr>
          <w:p>
            <w:r/>
            <w:r>
              <w:rPr>
                <w:b/>
                <w:color w:val="FFFFFF"/>
                <w:sz w:val="20"/>
              </w:rPr>
              <w:t>Item</w:t>
            </w:r>
          </w:p>
        </w:tc>
        <w:tc>
          <w:tcPr>
            <w:tcW w:type="dxa" w:w="1701"/>
            <w:shd w:val="clear" w:color="auto" w:fill="14507A"/>
          </w:tcPr>
          <w:p>
            <w:r/>
            <w:r>
              <w:rPr>
                <w:b/>
                <w:color w:val="FFFFFF"/>
                <w:sz w:val="20"/>
              </w:rPr>
              <w:t>Type</w:t>
            </w:r>
          </w:p>
        </w:tc>
        <w:tc>
          <w:tcPr>
            <w:tcW w:type="dxa" w:w="6520"/>
            <w:shd w:val="clear" w:color="auto" w:fill="14507A"/>
          </w:tcPr>
          <w:p>
            <w:r/>
            <w:r>
              <w:rPr>
                <w:b/>
                <w:color w:val="FFFFFF"/>
                <w:sz w:val="20"/>
              </w:rPr>
              <w:t>Mitigation / next step</w:t>
            </w:r>
          </w:p>
        </w:tc>
      </w:tr>
      <w:tr>
        <w:tc>
          <w:tcPr>
            <w:tcW w:type="dxa" w:w="3402"/>
          </w:tcPr>
          <w:p>
            <w:r/>
            <w:r>
              <w:rPr>
                <w:sz w:val="19"/>
              </w:rPr>
              <w:t>Service-worker XPath evaluator</w:t>
            </w:r>
          </w:p>
        </w:tc>
        <w:tc>
          <w:tcPr>
            <w:tcW w:type="dxa" w:w="1701"/>
          </w:tcPr>
          <w:p>
            <w:r/>
            <w:r>
              <w:rPr>
                <w:sz w:val="19"/>
              </w:rPr>
              <w:t>Tech</w:t>
            </w:r>
          </w:p>
        </w:tc>
        <w:tc>
          <w:tcPr>
            <w:tcW w:type="dxa" w:w="6520"/>
          </w:tcPr>
          <w:p>
            <w:r/>
            <w:r>
              <w:rPr>
                <w:sz w:val="19"/>
              </w:rPr>
              <w:t>Service workers lack a built-in XPath engine. Bundle fontoxpath (≈250KB) or wicked-good-xpath; verify MV3 size budget.</w:t>
            </w:r>
          </w:p>
        </w:tc>
      </w:tr>
      <w:tr>
        <w:tc>
          <w:tcPr>
            <w:tcW w:type="dxa" w:w="3402"/>
            <w:shd w:val="clear" w:color="auto" w:fill="F4F8FB"/>
          </w:tcPr>
          <w:p>
            <w:r/>
            <w:r>
              <w:rPr>
                <w:sz w:val="19"/>
              </w:rPr>
              <w:t>cXML 1.2.045 vs 1.2.060 drift</w:t>
            </w:r>
          </w:p>
        </w:tc>
        <w:tc>
          <w:tcPr>
            <w:tcW w:type="dxa" w:w="1701"/>
            <w:shd w:val="clear" w:color="auto" w:fill="F4F8FB"/>
          </w:tcPr>
          <w:p>
            <w:r/>
            <w:r>
              <w:rPr>
                <w:sz w:val="19"/>
              </w:rPr>
              <w:t>Schema</w:t>
            </w:r>
          </w:p>
        </w:tc>
        <w:tc>
          <w:tcPr>
            <w:tcW w:type="dxa" w:w="6520"/>
            <w:shd w:val="clear" w:color="auto" w:fill="F4F8FB"/>
          </w:tcPr>
          <w:p>
            <w:r/>
            <w:r>
              <w:rPr>
                <w:sz w:val="19"/>
              </w:rPr>
              <w:t>Golden template has both annotations. Pin to 1.2.045 (latest comment date); add a per-scenario version field if buyers diverge.</w:t>
            </w:r>
          </w:p>
        </w:tc>
      </w:tr>
      <w:tr>
        <w:tc>
          <w:tcPr>
            <w:tcW w:type="dxa" w:w="3402"/>
          </w:tcPr>
          <w:p>
            <w:r/>
            <w:r>
              <w:rPr>
                <w:sz w:val="19"/>
              </w:rPr>
              <w:t>Auto-increment determinism across reloads</w:t>
            </w:r>
          </w:p>
        </w:tc>
        <w:tc>
          <w:tcPr>
            <w:tcW w:type="dxa" w:w="1701"/>
          </w:tcPr>
          <w:p>
            <w:r/>
            <w:r>
              <w:rPr>
                <w:sz w:val="19"/>
              </w:rPr>
              <w:t>Data</w:t>
            </w:r>
          </w:p>
        </w:tc>
        <w:tc>
          <w:tcPr>
            <w:tcW w:type="dxa" w:w="6520"/>
          </w:tcPr>
          <w:p>
            <w:r/>
            <w:r>
              <w:rPr>
                <w:sz w:val="19"/>
              </w:rPr>
              <w:t>ai2eFieldState persists last-used counters. Guard with chrome.storage.session for ephemeral test runs vs chrome.storage.local for persistent.</w:t>
            </w:r>
          </w:p>
        </w:tc>
      </w:tr>
      <w:tr>
        <w:tc>
          <w:tcPr>
            <w:tcW w:type="dxa" w:w="3402"/>
            <w:shd w:val="clear" w:color="auto" w:fill="F4F8FB"/>
          </w:tcPr>
          <w:p>
            <w:r/>
            <w:r>
              <w:rPr>
                <w:sz w:val="19"/>
              </w:rPr>
              <w:t>Mode 3b extension authority</w:t>
            </w:r>
          </w:p>
        </w:tc>
        <w:tc>
          <w:tcPr>
            <w:tcW w:type="dxa" w:w="1701"/>
            <w:shd w:val="clear" w:color="auto" w:fill="F4F8FB"/>
          </w:tcPr>
          <w:p>
            <w:r/>
            <w:r>
              <w:rPr>
                <w:sz w:val="19"/>
              </w:rPr>
              <w:t>Governance</w:t>
            </w:r>
          </w:p>
        </w:tc>
        <w:tc>
          <w:tcPr>
            <w:tcW w:type="dxa" w:w="6520"/>
            <w:shd w:val="clear" w:color="auto" w:fill="F4F8FB"/>
          </w:tcPr>
          <w:p>
            <w:r/>
            <w:r>
              <w:rPr>
                <w:sz w:val="19"/>
              </w:rPr>
              <w:t>Original 14 fields are the "supplier-editable" contract. Extended fields are "test-only" — must be excluded from any production push to live buyer endpoints.</w:t>
            </w:r>
          </w:p>
        </w:tc>
      </w:tr>
      <w:tr>
        <w:tc>
          <w:tcPr>
            <w:tcW w:type="dxa" w:w="3402"/>
          </w:tcPr>
          <w:p>
            <w:r/>
            <w:r>
              <w:rPr>
                <w:sz w:val="19"/>
              </w:rPr>
              <w:t>PII redaction false-negatives</w:t>
            </w:r>
          </w:p>
        </w:tc>
        <w:tc>
          <w:tcPr>
            <w:tcW w:type="dxa" w:w="1701"/>
          </w:tcPr>
          <w:p>
            <w:r/>
            <w:r>
              <w:rPr>
                <w:sz w:val="19"/>
              </w:rPr>
              <w:t>Compliance</w:t>
            </w:r>
          </w:p>
        </w:tc>
        <w:tc>
          <w:tcPr>
            <w:tcW w:type="dxa" w:w="6520"/>
          </w:tcPr>
          <w:p>
            <w:r/>
            <w:r>
              <w:rPr>
                <w:sz w:val="19"/>
              </w:rPr>
              <w:t>Combine field-targeted masking with an LLM-pass review before persisting; flag suspicious free-text for manual review.</w:t>
            </w:r>
          </w:p>
        </w:tc>
      </w:tr>
      <w:tr>
        <w:tc>
          <w:tcPr>
            <w:tcW w:type="dxa" w:w="3402"/>
            <w:shd w:val="clear" w:color="auto" w:fill="F4F8FB"/>
          </w:tcPr>
          <w:p>
            <w:r/>
            <w:r>
              <w:rPr>
                <w:sz w:val="19"/>
              </w:rPr>
              <w:t>Buyer-specific overrides</w:t>
            </w:r>
          </w:p>
        </w:tc>
        <w:tc>
          <w:tcPr>
            <w:tcW w:type="dxa" w:w="1701"/>
            <w:shd w:val="clear" w:color="auto" w:fill="F4F8FB"/>
          </w:tcPr>
          <w:p>
            <w:r/>
            <w:r>
              <w:rPr>
                <w:sz w:val="19"/>
              </w:rPr>
              <w:t>Modeling</w:t>
            </w:r>
          </w:p>
        </w:tc>
        <w:tc>
          <w:tcPr>
            <w:tcW w:type="dxa" w:w="6520"/>
            <w:shd w:val="clear" w:color="auto" w:fill="F4F8FB"/>
          </w:tcPr>
          <w:p>
            <w:r/>
            <w:r>
              <w:rPr>
                <w:sz w:val="19"/>
              </w:rPr>
              <w:t>Several rows in CIG Modifiable Fields are tagged "Buyer specific". Add per-buyer override layer keyed by Buyer ANID, falling back to global default.</w:t>
            </w:r>
          </w:p>
        </w:tc>
      </w:tr>
      <w:tr>
        <w:tc>
          <w:tcPr>
            <w:tcW w:type="dxa" w:w="3402"/>
          </w:tcPr>
          <w:p>
            <w:r/>
            <w:r>
              <w:rPr>
                <w:sz w:val="19"/>
              </w:rPr>
              <w:t>Push to live buyer endpoint from a Chrome extension</w:t>
            </w:r>
          </w:p>
        </w:tc>
        <w:tc>
          <w:tcPr>
            <w:tcW w:type="dxa" w:w="1701"/>
          </w:tcPr>
          <w:p>
            <w:r/>
            <w:r>
              <w:rPr>
                <w:sz w:val="19"/>
              </w:rPr>
              <w:t>Operational</w:t>
            </w:r>
          </w:p>
        </w:tc>
        <w:tc>
          <w:tcPr>
            <w:tcW w:type="dxa" w:w="6520"/>
          </w:tcPr>
          <w:p>
            <w:r/>
            <w:r>
              <w:rPr>
                <w:sz w:val="19"/>
              </w:rPr>
              <w:t>cXML push from a service worker requires host_permissions and shared-secret handling. Use chrome.storage.session for secrets; never persist in local.</w:t>
            </w:r>
          </w:p>
        </w:tc>
      </w:tr>
    </w:tbl>
    <w:p>
      <w:pPr>
        <w:pStyle w:val="Heading1"/>
      </w:pPr>
      <w:r>
        <w:rPr>
          <w:rFonts w:ascii="Calibri" w:hAnsi="Calibri"/>
          <w:color w:val="145078"/>
        </w:rPr>
        <w:t>14. Recommended build order</w:t>
      </w:r>
    </w:p>
    <w:tbl>
      <w:tblPr>
        <w:tblStyle w:val="LightGrid-Accent1"/>
        <w:tblW w:type="auto" w:w="0"/>
        <w:tblLayout w:type="fixed"/>
        <w:tblLook w:firstColumn="1" w:firstRow="1" w:lastColumn="0" w:lastRow="0" w:noHBand="0" w:noVBand="1" w:val="04A0"/>
      </w:tblPr>
      <w:tblGrid>
        <w:gridCol w:w="3289"/>
        <w:gridCol w:w="3289"/>
        <w:gridCol w:w="3289"/>
      </w:tblGrid>
      <w:tr>
        <w:tc>
          <w:tcPr>
            <w:tcW w:type="dxa" w:w="1984"/>
            <w:shd w:val="clear" w:color="auto" w:fill="14507A"/>
          </w:tcPr>
          <w:p>
            <w:r/>
            <w:r>
              <w:rPr>
                <w:b/>
                <w:color w:val="FFFFFF"/>
                <w:sz w:val="20"/>
              </w:rPr>
              <w:t>Phase</w:t>
            </w:r>
          </w:p>
        </w:tc>
        <w:tc>
          <w:tcPr>
            <w:tcW w:type="dxa" w:w="4535"/>
            <w:shd w:val="clear" w:color="auto" w:fill="14507A"/>
          </w:tcPr>
          <w:p>
            <w:r/>
            <w:r>
              <w:rPr>
                <w:b/>
                <w:color w:val="FFFFFF"/>
                <w:sz w:val="20"/>
              </w:rPr>
              <w:t>Deliverable</w:t>
            </w:r>
          </w:p>
        </w:tc>
        <w:tc>
          <w:tcPr>
            <w:tcW w:type="dxa" w:w="5102"/>
            <w:shd w:val="clear" w:color="auto" w:fill="14507A"/>
          </w:tcPr>
          <w:p>
            <w:r/>
            <w:r>
              <w:rPr>
                <w:b/>
                <w:color w:val="FFFFFF"/>
                <w:sz w:val="20"/>
              </w:rPr>
              <w:t>Validation</w:t>
            </w:r>
          </w:p>
        </w:tc>
      </w:tr>
      <w:tr>
        <w:tc>
          <w:tcPr>
            <w:tcW w:type="dxa" w:w="1984"/>
          </w:tcPr>
          <w:p>
            <w:r/>
            <w:r>
              <w:rPr>
                <w:sz w:val="19"/>
              </w:rPr>
              <w:t>1. Catalog bake</w:t>
            </w:r>
          </w:p>
        </w:tc>
        <w:tc>
          <w:tcPr>
            <w:tcW w:type="dxa" w:w="4535"/>
          </w:tcPr>
          <w:p>
            <w:r/>
            <w:r>
              <w:rPr>
                <w:sz w:val="19"/>
              </w:rPr>
              <w:t>Convert Excel sheets to scenarios.json, modifiable-fields.json, cxml-template.xml. Bundle in data/ai2e/.</w:t>
            </w:r>
          </w:p>
        </w:tc>
        <w:tc>
          <w:tcPr>
            <w:tcW w:type="dxa" w:w="5102"/>
          </w:tcPr>
          <w:p>
            <w:r/>
            <w:r>
              <w:rPr>
                <w:sz w:val="19"/>
              </w:rPr>
              <w:t>JSON validates against a Zod schema; all 35 XPath rules parse.</w:t>
            </w:r>
          </w:p>
        </w:tc>
      </w:tr>
      <w:tr>
        <w:tc>
          <w:tcPr>
            <w:tcW w:type="dxa" w:w="1984"/>
            <w:shd w:val="clear" w:color="auto" w:fill="F4F8FB"/>
          </w:tcPr>
          <w:p>
            <w:r/>
            <w:r>
              <w:rPr>
                <w:sz w:val="19"/>
              </w:rPr>
              <w:t>2. Detector</w:t>
            </w:r>
          </w:p>
        </w:tc>
        <w:tc>
          <w:tcPr>
            <w:tcW w:type="dxa" w:w="4535"/>
            <w:shd w:val="clear" w:color="auto" w:fill="F4F8FB"/>
          </w:tcPr>
          <w:p>
            <w:r/>
            <w:r>
              <w:rPr>
                <w:sz w:val="19"/>
              </w:rPr>
              <w:t>Implement XPath evaluator + classify route. Wire AI Tab Retrieval list.</w:t>
            </w:r>
          </w:p>
        </w:tc>
        <w:tc>
          <w:tcPr>
            <w:tcW w:type="dxa" w:w="5102"/>
            <w:shd w:val="clear" w:color="auto" w:fill="F4F8FB"/>
          </w:tcPr>
          <w:p>
            <w:r/>
            <w:r>
              <w:rPr>
                <w:sz w:val="19"/>
              </w:rPr>
              <w:t>Run against the cXML Order Sample template — expect to match scenario 1 (Standard PO) and others by construction.</w:t>
            </w:r>
          </w:p>
        </w:tc>
      </w:tr>
      <w:tr>
        <w:tc>
          <w:tcPr>
            <w:tcW w:type="dxa" w:w="1984"/>
          </w:tcPr>
          <w:p>
            <w:r/>
            <w:r>
              <w:rPr>
                <w:sz w:val="19"/>
              </w:rPr>
              <w:t>3. Source Adapter</w:t>
            </w:r>
          </w:p>
        </w:tc>
        <w:tc>
          <w:tcPr>
            <w:tcW w:type="dxa" w:w="4535"/>
          </w:tcPr>
          <w:p>
            <w:r/>
            <w:r>
              <w:rPr>
                <w:sz w:val="19"/>
              </w:rPr>
              <w:t>Unified ingest for upload + API + DOM (mode 4d). PII redaction.</w:t>
            </w:r>
          </w:p>
        </w:tc>
        <w:tc>
          <w:tcPr>
            <w:tcW w:type="dxa" w:w="5102"/>
          </w:tcPr>
          <w:p>
            <w:r/>
            <w:r>
              <w:rPr>
                <w:sz w:val="19"/>
              </w:rPr>
              <w:t>Round-trip a real retrieved PO through ingest → store → re-fetch → match original hash post-redaction.</w:t>
            </w:r>
          </w:p>
        </w:tc>
      </w:tr>
      <w:tr>
        <w:tc>
          <w:tcPr>
            <w:tcW w:type="dxa" w:w="1984"/>
            <w:shd w:val="clear" w:color="auto" w:fill="F4F8FB"/>
          </w:tcPr>
          <w:p>
            <w:r/>
            <w:r>
              <w:rPr>
                <w:sz w:val="19"/>
              </w:rPr>
              <w:t>4. Planner+Mutator</w:t>
            </w:r>
          </w:p>
        </w:tc>
        <w:tc>
          <w:tcPr>
            <w:tcW w:type="dxa" w:w="4535"/>
            <w:shd w:val="clear" w:color="auto" w:fill="F4F8FB"/>
          </w:tcPr>
          <w:p>
            <w:r/>
            <w:r>
              <w:rPr>
                <w:sz w:val="19"/>
              </w:rPr>
              <w:t>Implement primitives + Mode B logic. modifiable-fields.json driven.</w:t>
            </w:r>
          </w:p>
        </w:tc>
        <w:tc>
          <w:tcPr>
            <w:tcW w:type="dxa" w:w="5102"/>
            <w:shd w:val="clear" w:color="auto" w:fill="F4F8FB"/>
          </w:tcPr>
          <w:p>
            <w:r/>
            <w:r>
              <w:rPr>
                <w:sz w:val="19"/>
              </w:rPr>
              <w:t>Generate scenario 4 (Change Order) and scenario 26 (Zero-Value) from the template; Validator confirms.</w:t>
            </w:r>
          </w:p>
        </w:tc>
      </w:tr>
      <w:tr>
        <w:tc>
          <w:tcPr>
            <w:tcW w:type="dxa" w:w="1984"/>
          </w:tcPr>
          <w:p>
            <w:r/>
            <w:r>
              <w:rPr>
                <w:sz w:val="19"/>
              </w:rPr>
              <w:t>5. Generator (Mode C)</w:t>
            </w:r>
          </w:p>
        </w:tc>
        <w:tc>
          <w:tcPr>
            <w:tcW w:type="dxa" w:w="4535"/>
          </w:tcPr>
          <w:p>
            <w:r/>
            <w:r>
              <w:rPr>
                <w:sz w:val="19"/>
              </w:rPr>
              <w:t>Add splice from cxml-template.xml.</w:t>
            </w:r>
          </w:p>
        </w:tc>
        <w:tc>
          <w:tcPr>
            <w:tcW w:type="dxa" w:w="5102"/>
          </w:tcPr>
          <w:p>
            <w:r/>
            <w:r>
              <w:rPr>
                <w:sz w:val="19"/>
              </w:rPr>
              <w:t>Generate scenarios 9, 16, 19, 30, 35 (all template-splice cases).</w:t>
            </w:r>
          </w:p>
        </w:tc>
      </w:tr>
      <w:tr>
        <w:tc>
          <w:tcPr>
            <w:tcW w:type="dxa" w:w="1984"/>
            <w:shd w:val="clear" w:color="auto" w:fill="F4F8FB"/>
          </w:tcPr>
          <w:p>
            <w:r/>
            <w:r>
              <w:rPr>
                <w:sz w:val="19"/>
              </w:rPr>
              <w:t>6. Test Mgmt UI</w:t>
            </w:r>
          </w:p>
        </w:tc>
        <w:tc>
          <w:tcPr>
            <w:tcW w:type="dxa" w:w="4535"/>
            <w:shd w:val="clear" w:color="auto" w:fill="F4F8FB"/>
          </w:tcPr>
          <w:p>
            <w:r/>
            <w:r>
              <w:rPr>
                <w:sz w:val="19"/>
              </w:rPr>
              <w:t>CRUD over Plans/Cycles/Suites/Cases. Link to TestDataSamples.</w:t>
            </w:r>
          </w:p>
        </w:tc>
        <w:tc>
          <w:tcPr>
            <w:tcW w:type="dxa" w:w="5102"/>
            <w:shd w:val="clear" w:color="auto" w:fill="F4F8FB"/>
          </w:tcPr>
          <w:p>
            <w:r/>
            <w:r>
              <w:rPr>
                <w:sz w:val="19"/>
              </w:rPr>
              <w:t>Create a sample plan, attach 5 test cases, verify round-trip.</w:t>
            </w:r>
          </w:p>
        </w:tc>
      </w:tr>
      <w:tr>
        <w:tc>
          <w:tcPr>
            <w:tcW w:type="dxa" w:w="1984"/>
          </w:tcPr>
          <w:p>
            <w:r/>
            <w:r>
              <w:rPr>
                <w:sz w:val="19"/>
              </w:rPr>
              <w:t>7. Runner</w:t>
            </w:r>
          </w:p>
        </w:tc>
        <w:tc>
          <w:tcPr>
            <w:tcW w:type="dxa" w:w="4535"/>
          </w:tcPr>
          <w:p>
            <w:r/>
            <w:r>
              <w:rPr>
                <w:sz w:val="19"/>
              </w:rPr>
              <w:t>Execute test cases against a buyer test endpoint; record TestRuns.</w:t>
            </w:r>
          </w:p>
        </w:tc>
        <w:tc>
          <w:tcPr>
            <w:tcW w:type="dxa" w:w="5102"/>
          </w:tcPr>
          <w:p>
            <w:r/>
            <w:r>
              <w:rPr>
                <w:sz w:val="19"/>
              </w:rPr>
              <w:t>Run scenario 1 against a sandbox buyer; capture 200 ACK; persist artifacts.</w:t>
            </w:r>
          </w:p>
        </w:tc>
      </w:tr>
      <w:tr>
        <w:tc>
          <w:tcPr>
            <w:tcW w:type="dxa" w:w="1984"/>
            <w:shd w:val="clear" w:color="auto" w:fill="F4F8FB"/>
          </w:tcPr>
          <w:p>
            <w:r/>
            <w:r>
              <w:rPr>
                <w:sz w:val="19"/>
              </w:rPr>
              <w:t>8. Coverage UI</w:t>
            </w:r>
          </w:p>
        </w:tc>
        <w:tc>
          <w:tcPr>
            <w:tcW w:type="dxa" w:w="4535"/>
            <w:shd w:val="clear" w:color="auto" w:fill="F4F8FB"/>
          </w:tcPr>
          <w:p>
            <w:r/>
            <w:r>
              <w:rPr>
                <w:sz w:val="19"/>
              </w:rPr>
              <w:t>Dashboard: which of the 35 scenarios are present in real PO traffic; gaps; trends.</w:t>
            </w:r>
          </w:p>
        </w:tc>
        <w:tc>
          <w:tcPr>
            <w:tcW w:type="dxa" w:w="5102"/>
            <w:shd w:val="clear" w:color="auto" w:fill="F4F8FB"/>
          </w:tcPr>
          <w:p>
            <w:r/>
            <w:r>
              <w:rPr>
                <w:sz w:val="19"/>
              </w:rPr>
              <w:t>Coverage report aligns with manual classification.</w:t>
            </w:r>
          </w:p>
        </w:tc>
      </w:tr>
    </w:tbl>
    <w:p>
      <w:pPr>
        <w:pStyle w:val="Heading1"/>
      </w:pPr>
      <w:r>
        <w:rPr>
          <w:rFonts w:ascii="Calibri" w:hAnsi="Calibri"/>
          <w:color w:val="145078"/>
        </w:rPr>
        <w:t>Appendix A. Glossary</w:t>
      </w:r>
    </w:p>
    <w:tbl>
      <w:tblPr>
        <w:tblStyle w:val="LightGrid-Accent1"/>
        <w:tblW w:type="auto" w:w="0"/>
        <w:tblLayout w:type="fixed"/>
        <w:tblLook w:firstColumn="1" w:firstRow="1" w:lastColumn="0" w:lastRow="0" w:noHBand="0" w:noVBand="1" w:val="04A0"/>
      </w:tblPr>
      <w:tblGrid>
        <w:gridCol w:w="4933"/>
        <w:gridCol w:w="4933"/>
      </w:tblGrid>
      <w:tr>
        <w:tc>
          <w:tcPr>
            <w:tcW w:type="dxa" w:w="2268"/>
            <w:shd w:val="clear" w:color="auto" w:fill="14507A"/>
          </w:tcPr>
          <w:p>
            <w:r/>
            <w:r>
              <w:rPr>
                <w:b/>
                <w:color w:val="FFFFFF"/>
                <w:sz w:val="20"/>
              </w:rPr>
              <w:t>Term</w:t>
            </w:r>
          </w:p>
        </w:tc>
        <w:tc>
          <w:tcPr>
            <w:tcW w:type="dxa" w:w="9354"/>
            <w:shd w:val="clear" w:color="auto" w:fill="14507A"/>
          </w:tcPr>
          <w:p>
            <w:r/>
            <w:r>
              <w:rPr>
                <w:b/>
                <w:color w:val="FFFFFF"/>
                <w:sz w:val="20"/>
              </w:rPr>
              <w:t>Meaning</w:t>
            </w:r>
          </w:p>
        </w:tc>
      </w:tr>
      <w:tr>
        <w:tc>
          <w:tcPr>
            <w:tcW w:type="dxa" w:w="2268"/>
          </w:tcPr>
          <w:p>
            <w:r/>
            <w:r>
              <w:rPr>
                <w:sz w:val="19"/>
              </w:rPr>
              <w:t>AI2E</w:t>
            </w:r>
          </w:p>
        </w:tc>
        <w:tc>
          <w:tcPr>
            <w:tcW w:type="dxa" w:w="9354"/>
          </w:tcPr>
          <w:p>
            <w:r/>
            <w:r>
              <w:rPr>
                <w:sz w:val="19"/>
              </w:rPr>
              <w:t>AI-to-Execute — the scenario engine subsystem inside the AIA extension.</w:t>
            </w:r>
          </w:p>
        </w:tc>
      </w:tr>
      <w:tr>
        <w:tc>
          <w:tcPr>
            <w:tcW w:type="dxa" w:w="2268"/>
            <w:shd w:val="clear" w:color="auto" w:fill="F4F8FB"/>
          </w:tcPr>
          <w:p>
            <w:r/>
            <w:r>
              <w:rPr>
                <w:sz w:val="19"/>
              </w:rPr>
              <w:t>AIA</w:t>
            </w:r>
          </w:p>
        </w:tc>
        <w:tc>
          <w:tcPr>
            <w:tcW w:type="dxa" w:w="9354"/>
            <w:shd w:val="clear" w:color="auto" w:fill="F4F8FB"/>
          </w:tcPr>
          <w:p>
            <w:r/>
            <w:r>
              <w:rPr>
                <w:sz w:val="19"/>
              </w:rPr>
              <w:t>Ariba Integration Agent — the Chrome MV3 extension under build.</w:t>
            </w:r>
          </w:p>
        </w:tc>
      </w:tr>
      <w:tr>
        <w:tc>
          <w:tcPr>
            <w:tcW w:type="dxa" w:w="2268"/>
          </w:tcPr>
          <w:p>
            <w:r/>
            <w:r>
              <w:rPr>
                <w:sz w:val="19"/>
              </w:rPr>
              <w:t>ANID</w:t>
            </w:r>
          </w:p>
        </w:tc>
        <w:tc>
          <w:tcPr>
            <w:tcW w:type="dxa" w:w="9354"/>
          </w:tcPr>
          <w:p>
            <w:r/>
            <w:r>
              <w:rPr>
                <w:sz w:val="19"/>
              </w:rPr>
              <w:t>Ariba Network ID, e.g. AN01234567890 — identifies a buyer or supplier on the SBN.</w:t>
            </w:r>
          </w:p>
        </w:tc>
      </w:tr>
      <w:tr>
        <w:tc>
          <w:tcPr>
            <w:tcW w:type="dxa" w:w="2268"/>
            <w:shd w:val="clear" w:color="auto" w:fill="F4F8FB"/>
          </w:tcPr>
          <w:p>
            <w:r/>
            <w:r>
              <w:rPr>
                <w:sz w:val="19"/>
              </w:rPr>
              <w:t>CanonicalPO</w:t>
            </w:r>
          </w:p>
        </w:tc>
        <w:tc>
          <w:tcPr>
            <w:tcW w:type="dxa" w:w="9354"/>
            <w:shd w:val="clear" w:color="auto" w:fill="F4F8FB"/>
          </w:tcPr>
          <w:p>
            <w:r/>
            <w:r>
              <w:rPr>
                <w:sz w:val="19"/>
              </w:rPr>
              <w:t>The normalized in-memory representation of a retrieved PO (raw cXML + parsed AST + provenance).</w:t>
            </w:r>
          </w:p>
        </w:tc>
      </w:tr>
      <w:tr>
        <w:tc>
          <w:tcPr>
            <w:tcW w:type="dxa" w:w="2268"/>
          </w:tcPr>
          <w:p>
            <w:r/>
            <w:r>
              <w:rPr>
                <w:sz w:val="19"/>
              </w:rPr>
              <w:t>cXML</w:t>
            </w:r>
          </w:p>
        </w:tc>
        <w:tc>
          <w:tcPr>
            <w:tcW w:type="dxa" w:w="9354"/>
          </w:tcPr>
          <w:p>
            <w:r/>
            <w:r>
              <w:rPr>
                <w:sz w:val="19"/>
              </w:rPr>
              <w:t>Commerce XML — the SBN document standard. Golden template is version 1.2.045.</w:t>
            </w:r>
          </w:p>
        </w:tc>
      </w:tr>
      <w:tr>
        <w:tc>
          <w:tcPr>
            <w:tcW w:type="dxa" w:w="2268"/>
            <w:shd w:val="clear" w:color="auto" w:fill="F4F8FB"/>
          </w:tcPr>
          <w:p>
            <w:r/>
            <w:r>
              <w:rPr>
                <w:sz w:val="19"/>
              </w:rPr>
              <w:t>Detector</w:t>
            </w:r>
          </w:p>
        </w:tc>
        <w:tc>
          <w:tcPr>
            <w:tcW w:type="dxa" w:w="9354"/>
            <w:shd w:val="clear" w:color="auto" w:fill="F4F8FB"/>
          </w:tcPr>
          <w:p>
            <w:r/>
            <w:r>
              <w:rPr>
                <w:sz w:val="19"/>
              </w:rPr>
              <w:t>Engine component that classifies a CanonicalPO against the 35 scenarios using XPath rules.</w:t>
            </w:r>
          </w:p>
        </w:tc>
      </w:tr>
      <w:tr>
        <w:tc>
          <w:tcPr>
            <w:tcW w:type="dxa" w:w="2268"/>
          </w:tcPr>
          <w:p>
            <w:r/>
            <w:r>
              <w:rPr>
                <w:sz w:val="19"/>
              </w:rPr>
              <w:t>EOR</w:t>
            </w:r>
          </w:p>
        </w:tc>
        <w:tc>
          <w:tcPr>
            <w:tcW w:type="dxa" w:w="9354"/>
          </w:tcPr>
          <w:p>
            <w:r/>
            <w:r>
              <w:rPr>
                <w:sz w:val="19"/>
              </w:rPr>
              <w:t>Electronic Order Routing — the supplier-side AN setting that controls how POs are delivered (Email / Online / cXML).</w:t>
            </w:r>
          </w:p>
        </w:tc>
      </w:tr>
      <w:tr>
        <w:tc>
          <w:tcPr>
            <w:tcW w:type="dxa" w:w="2268"/>
            <w:shd w:val="clear" w:color="auto" w:fill="F4F8FB"/>
          </w:tcPr>
          <w:p>
            <w:r/>
            <w:r>
              <w:rPr>
                <w:sz w:val="19"/>
              </w:rPr>
              <w:t>Generator</w:t>
            </w:r>
          </w:p>
        </w:tc>
        <w:tc>
          <w:tcPr>
            <w:tcW w:type="dxa" w:w="9354"/>
            <w:shd w:val="clear" w:color="auto" w:fill="F4F8FB"/>
          </w:tcPr>
          <w:p>
            <w:r/>
            <w:r>
              <w:rPr>
                <w:sz w:val="19"/>
              </w:rPr>
              <w:t>Engine component that produces a variant cXML from a base PO + MutationPlan.</w:t>
            </w:r>
          </w:p>
        </w:tc>
      </w:tr>
      <w:tr>
        <w:tc>
          <w:tcPr>
            <w:tcW w:type="dxa" w:w="2268"/>
          </w:tcPr>
          <w:p>
            <w:r/>
            <w:r>
              <w:rPr>
                <w:sz w:val="19"/>
              </w:rPr>
              <w:t>Golden template</w:t>
            </w:r>
          </w:p>
        </w:tc>
        <w:tc>
          <w:tcPr>
            <w:tcW w:type="dxa" w:w="9354"/>
          </w:tcPr>
          <w:p>
            <w:r/>
            <w:r>
              <w:rPr>
                <w:sz w:val="19"/>
              </w:rPr>
              <w:t>cXML Order Sample (688 rows) — the most permissive, fully-annotated cXML reference.</w:t>
            </w:r>
          </w:p>
        </w:tc>
      </w:tr>
      <w:tr>
        <w:tc>
          <w:tcPr>
            <w:tcW w:type="dxa" w:w="2268"/>
            <w:shd w:val="clear" w:color="auto" w:fill="F4F8FB"/>
          </w:tcPr>
          <w:p>
            <w:r/>
            <w:r>
              <w:rPr>
                <w:sz w:val="19"/>
              </w:rPr>
              <w:t>Landscape</w:t>
            </w:r>
          </w:p>
        </w:tc>
        <w:tc>
          <w:tcPr>
            <w:tcW w:type="dxa" w:w="9354"/>
            <w:shd w:val="clear" w:color="auto" w:fill="F4F8FB"/>
          </w:tcPr>
          <w:p>
            <w:r/>
            <w:r>
              <w:rPr>
                <w:sz w:val="19"/>
              </w:rPr>
              <w:t>A row in the Landscape sheet — a named environment with its endpoints, ANIDs, and secrets.</w:t>
            </w:r>
          </w:p>
        </w:tc>
      </w:tr>
      <w:tr>
        <w:tc>
          <w:tcPr>
            <w:tcW w:type="dxa" w:w="2268"/>
          </w:tcPr>
          <w:p>
            <w:r/>
            <w:r>
              <w:rPr>
                <w:sz w:val="19"/>
              </w:rPr>
              <w:t>Mode B</w:t>
            </w:r>
          </w:p>
        </w:tc>
        <w:tc>
          <w:tcPr>
            <w:tcW w:type="dxa" w:w="9354"/>
          </w:tcPr>
          <w:p>
            <w:r/>
            <w:r>
              <w:rPr>
                <w:sz w:val="19"/>
              </w:rPr>
              <w:t>Mutation in place: apply mutations to the base PO without inserting new structures.</w:t>
            </w:r>
          </w:p>
        </w:tc>
      </w:tr>
      <w:tr>
        <w:tc>
          <w:tcPr>
            <w:tcW w:type="dxa" w:w="2268"/>
            <w:shd w:val="clear" w:color="auto" w:fill="F4F8FB"/>
          </w:tcPr>
          <w:p>
            <w:r/>
            <w:r>
              <w:rPr>
                <w:sz w:val="19"/>
              </w:rPr>
              <w:t>Mode C</w:t>
            </w:r>
          </w:p>
        </w:tc>
        <w:tc>
          <w:tcPr>
            <w:tcW w:type="dxa" w:w="9354"/>
            <w:shd w:val="clear" w:color="auto" w:fill="F4F8FB"/>
          </w:tcPr>
          <w:p>
            <w:r/>
            <w:r>
              <w:rPr>
                <w:sz w:val="19"/>
              </w:rPr>
              <w:t>Splice from template: copy missing structures from the golden template into the base PO.</w:t>
            </w:r>
          </w:p>
        </w:tc>
      </w:tr>
      <w:tr>
        <w:tc>
          <w:tcPr>
            <w:tcW w:type="dxa" w:w="2268"/>
          </w:tcPr>
          <w:p>
            <w:r/>
            <w:r>
              <w:rPr>
                <w:sz w:val="19"/>
              </w:rPr>
              <w:t>MutationPlan</w:t>
            </w:r>
          </w:p>
        </w:tc>
        <w:tc>
          <w:tcPr>
            <w:tcW w:type="dxa" w:w="9354"/>
          </w:tcPr>
          <w:p>
            <w:r/>
            <w:r>
              <w:rPr>
                <w:sz w:val="19"/>
              </w:rPr>
              <w:t>Ordered list of mutation operations the Generator will apply.</w:t>
            </w:r>
          </w:p>
        </w:tc>
      </w:tr>
      <w:tr>
        <w:tc>
          <w:tcPr>
            <w:tcW w:type="dxa" w:w="2268"/>
            <w:shd w:val="clear" w:color="auto" w:fill="F4F8FB"/>
          </w:tcPr>
          <w:p>
            <w:r/>
            <w:r>
              <w:rPr>
                <w:sz w:val="19"/>
              </w:rPr>
              <w:t>SBN</w:t>
            </w:r>
          </w:p>
        </w:tc>
        <w:tc>
          <w:tcPr>
            <w:tcW w:type="dxa" w:w="9354"/>
            <w:shd w:val="clear" w:color="auto" w:fill="F4F8FB"/>
          </w:tcPr>
          <w:p>
            <w:r/>
            <w:r>
              <w:rPr>
                <w:sz w:val="19"/>
              </w:rPr>
              <w:t>SAP Business Network — successor name for the Ariba Network.</w:t>
            </w:r>
          </w:p>
        </w:tc>
      </w:tr>
      <w:tr>
        <w:tc>
          <w:tcPr>
            <w:tcW w:type="dxa" w:w="2268"/>
          </w:tcPr>
          <w:p>
            <w:r/>
            <w:r>
              <w:rPr>
                <w:sz w:val="19"/>
              </w:rPr>
              <w:t>TestDataSample</w:t>
            </w:r>
          </w:p>
        </w:tc>
        <w:tc>
          <w:tcPr>
            <w:tcW w:type="dxa" w:w="9354"/>
          </w:tcPr>
          <w:p>
            <w:r/>
            <w:r>
              <w:rPr>
                <w:sz w:val="19"/>
              </w:rPr>
              <w:t>A versioned cXML payload, typically the output of a Generator call, referenced by one or more TestCases.</w:t>
            </w:r>
          </w:p>
        </w:tc>
      </w:tr>
      <w:tr>
        <w:tc>
          <w:tcPr>
            <w:tcW w:type="dxa" w:w="2268"/>
            <w:shd w:val="clear" w:color="auto" w:fill="F4F8FB"/>
          </w:tcPr>
          <w:p>
            <w:r/>
            <w:r>
              <w:rPr>
                <w:sz w:val="19"/>
              </w:rPr>
              <w:t>TestRun</w:t>
            </w:r>
          </w:p>
        </w:tc>
        <w:tc>
          <w:tcPr>
            <w:tcW w:type="dxa" w:w="9354"/>
            <w:shd w:val="clear" w:color="auto" w:fill="F4F8FB"/>
          </w:tcPr>
          <w:p>
            <w:r/>
            <w:r>
              <w:rPr>
                <w:sz w:val="19"/>
              </w:rPr>
              <w:t>A single execution instance of a TestCase against a Landscape; carries result and artifacts.</w:t>
            </w:r>
          </w:p>
        </w:tc>
      </w:tr>
    </w:tbl>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