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rPr>
          <w:rFonts w:ascii="Georgia" w:cs="Georgia" w:eastAsia="Georgia" w:hAnsi="Georgia"/>
          <w:color w:val="2C3E50"/>
          <w:sz w:val="22"/>
          <w:szCs w:val="22"/>
        </w:rPr>
        <w:t xml:space="preserve"/>
      </w:r>
    </w:p>
    <w:p>
      <w:pPr>
        <w:spacing w:before="0" w:after="60"/>
      </w:pPr>
      <w:r>
        <w:rPr>
          <w:rFonts w:ascii="Georgia" w:cs="Georgia" w:eastAsia="Georgia" w:hAnsi="Georgia"/>
          <w:b/>
          <w:bCs/>
          <w:color w:val="1C2833"/>
          <w:sz w:val="64"/>
          <w:szCs w:val="64"/>
        </w:rPr>
        <w:t xml:space="preserve">AI Organisational</w:t>
      </w:r>
    </w:p>
    <w:p>
      <w:pPr>
        <w:spacing w:before="0" w:after="60"/>
      </w:pPr>
      <w:r>
        <w:rPr>
          <w:rFonts w:ascii="Georgia" w:cs="Georgia" w:eastAsia="Georgia" w:hAnsi="Georgia"/>
          <w:b/>
          <w:bCs/>
          <w:color w:val="C0392B"/>
          <w:sz w:val="64"/>
          <w:szCs w:val="64"/>
        </w:rPr>
        <w:t xml:space="preserve">Readiness Assessment</w:t>
      </w:r>
    </w:p>
    <w:p>
      <w:pPr>
        <w:spacing w:before="0" w:after="300"/>
      </w:pPr>
      <w:r>
        <w:rPr>
          <w:rFonts w:ascii="Georgia" w:cs="Georgia" w:eastAsia="Georgia" w:hAnsi="Georgia"/>
          <w:i/>
          <w:iCs/>
          <w:color w:val="566573"/>
          <w:sz w:val="22"/>
          <w:szCs w:val="22"/>
        </w:rPr>
        <w:t xml:space="preserve">Version 2.0  —  SpanForge AI Lifecycle Platform</w:t>
      </w:r>
    </w:p>
    <w:p>
      <w:pPr>
        <w:pBdr>
          <w:bottom w:val="single" w:color="C0392B" w:sz="3" w:space="1"/>
        </w:pBdr>
        <w:spacing w:before="0" w:after="0"/>
      </w:pPr>
      <w:r>
        <w:rPr>
          <w:rFonts w:ascii="Georgia" w:cs="Georgia" w:eastAsia="Georgia" w:hAnsi="Georgia"/>
          <w:color w:val="2C3E50"/>
          <w:sz w:val="22"/>
          <w:szCs w:val="22"/>
        </w:rPr>
        <w:t xml:space="preserve"/>
      </w:r>
    </w:p>
    <w:p>
      <w:pPr>
        <w:spacing w:before="16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The definitive assessment for enterprise teams asking: are we ready to build, deploy, and sustain AI? Thirty questions across six dimensions. Maturity levels per dimension. Dimension playbooks. A 90-day roadmap. Industry benchmarks. Everything needed to go from diagnosis to action.</w:t>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A5276"/>
                <w:sz w:val="21"/>
                <w:szCs w:val="21"/>
              </w:rPr>
              <w:t xml:space="preserve">What's new in v2.0</w:t>
            </w:r>
          </w:p>
          <w:p>
            <w:pPr>
              <w:spacing w:before="0" w:after="0"/>
            </w:pPr>
            <w:r>
              <w:rPr>
                <w:rFonts w:ascii="Georgia" w:cs="Georgia" w:eastAsia="Georgia" w:hAnsi="Georgia"/>
                <w:color w:val="2C3E50"/>
                <w:sz w:val="21"/>
                <w:szCs w:val="21"/>
              </w:rPr>
              <w:t xml:space="preserve">✓  Maturity levels per dimension: Nascent / Emerging / Operational / Leading
✓  Dimension playbooks: what to do next at each maturity level
✓  90-day readiness roadmap generator based on your scores
✓  Industry benchmarks: where you stand vs peers
✓  Failure signals: the score thresholds that predict project failure
✓  AI Economics dimension (new): financial sustainability of AI investment
✓  Executive Quick Scan (10 questions): for leadership briefings
✓  Workshop facilitation guide: for cross-functional team use
✓  Repeatability loop: designed to be re-run every 6 months</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C0392B"/>
                <w:sz w:val="21"/>
                <w:szCs w:val="21"/>
              </w:rPr>
              <w:t xml:space="preserve">How this differs from the AI Project Qualification Assessment</w:t>
            </w:r>
          </w:p>
          <w:p>
            <w:pPr>
              <w:spacing w:before="0" w:after="0"/>
            </w:pPr>
            <w:r>
              <w:rPr>
                <w:rFonts w:ascii="Georgia" w:cs="Georgia" w:eastAsia="Georgia" w:hAnsi="Georgia"/>
                <w:color w:val="2C3E50"/>
                <w:sz w:val="21"/>
                <w:szCs w:val="21"/>
              </w:rPr>
              <w:t xml:space="preserve">Step 1 — This document: Does the organisation have the foundations to build AI at all?
Step 2 — AI Project Qualification Assessment: Is this specific problem a good AI candidate?
A high readiness score does not mean every project is viable. Both assessments must be completed before entering the SpanForge Design phase.</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How to score</w:t>
            </w:r>
          </w:p>
          <w:p>
            <w:pPr>
              <w:spacing w:before="0" w:after="0"/>
            </w:pPr>
            <w:r>
              <w:rPr>
                <w:rFonts w:ascii="Georgia" w:cs="Georgia" w:eastAsia="Georgia" w:hAnsi="Georgia"/>
                <w:color w:val="2C3E50"/>
                <w:sz w:val="21"/>
                <w:szCs w:val="21"/>
              </w:rPr>
              <w:t xml:space="preserve">Score each question 1–5. Score what is demonstrably true today — not plans or aspirations. Complete as a cross-functional team. If two team members score the same question more than 2 points apart, discuss before averaging.
Below 60:   Not ready. Build foundations before any AI investment.
60 – 90:    Emerging. Targeted readiness work required.
90 – 120:   Developing. AI can begin in stronger dimensions.
120 – 150:  Ready. Proceed with confidence.</w:t>
            </w:r>
          </w:p>
        </w:tc>
      </w:tr>
    </w:tbl>
    <w:p>
      <w:r>
        <w:br w:type="page"/>
      </w:r>
    </w:p>
    <w:p>
      <w:pPr>
        <w:spacing w:before="480" w:after="120"/>
      </w:pPr>
      <w:r>
        <w:rPr>
          <w:rFonts w:ascii="Georgia" w:cs="Georgia" w:eastAsia="Georgia" w:hAnsi="Georgia"/>
          <w:b/>
          <w:bCs/>
          <w:color w:val="1C2833"/>
          <w:sz w:val="52"/>
          <w:szCs w:val="52"/>
        </w:rPr>
        <w:t xml:space="preserve">Part 0 — Executive Quick Scan</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A5276"/>
                <w:sz w:val="21"/>
                <w:szCs w:val="21"/>
              </w:rPr>
              <w:t xml:space="preserve">For leaders and boards — 10 minutes</w:t>
            </w:r>
          </w:p>
          <w:p>
            <w:pPr>
              <w:spacing w:before="0" w:after="0"/>
            </w:pPr>
            <w:r>
              <w:rPr>
                <w:rFonts w:ascii="Georgia" w:cs="Georgia" w:eastAsia="Georgia" w:hAnsi="Georgia"/>
                <w:color w:val="2C3E50"/>
                <w:sz w:val="21"/>
                <w:szCs w:val="21"/>
              </w:rPr>
              <w:t xml:space="preserve">Two questions per dimension. Score 1–5. Total out of 50. Use this as an entry point before completing the full 30-question assessment. If any dimension scores below 4/10, it is a critical gap requiring immediate attention.</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560"/>
        <w:gridCol w:w="800"/>
        <w:gridCol w:w="1000"/>
      </w:tblGrid>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Dimension</w:t>
            </w:r>
          </w:p>
        </w:tc>
        <w:tc>
          <w:tcPr>
            <w:tcW w:type="dxa" w:w="55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Question</w:t>
            </w:r>
          </w:p>
        </w:tc>
        <w:tc>
          <w:tcPr>
            <w:tcW w:type="dxa" w:w="8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Score</w:t>
            </w:r>
          </w:p>
        </w:tc>
        <w:tc>
          <w:tcPr>
            <w:tcW w:type="dxa" w:w="10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 10</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Q1</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Strategy</w:t>
            </w:r>
          </w:p>
        </w:tc>
        <w:tc>
          <w:tcPr>
            <w:tcW w:type="dxa" w:w="55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Has the board approved a specific AI strategy with named owners and measurable targets?</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Q2</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Strategy</w:t>
            </w:r>
          </w:p>
        </w:tc>
        <w:tc>
          <w:tcPr>
            <w:tcW w:type="dxa" w:w="55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Is there a dedicated, protected AI budget that covers build, operations, and governance?</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Q3</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Data</w:t>
            </w:r>
          </w:p>
        </w:tc>
        <w:tc>
          <w:tcPr>
            <w:tcW w:type="dxa" w:w="55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Does a maintained inventory of your data assets exist, with quality ratings and ownership?</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Q4</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Data</w:t>
            </w:r>
          </w:p>
        </w:tc>
        <w:tc>
          <w:tcPr>
            <w:tcW w:type="dxa" w:w="55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Has all data intended for AI training been reviewed for consent, bias, and regulatory compliance?</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Q5</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Infrastructure</w:t>
            </w:r>
          </w:p>
        </w:tc>
        <w:tc>
          <w:tcPr>
            <w:tcW w:type="dxa" w:w="55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Is production-grade AI infrastructure — compute, pipelines, MLOps — provisioned and tested?</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Q6</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Infrastructure</w:t>
            </w:r>
          </w:p>
        </w:tc>
        <w:tc>
          <w:tcPr>
            <w:tcW w:type="dxa" w:w="55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Can AI systems be integrated with your core enterprise systems without prohibitive engineering effort?</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Q7</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Talent</w:t>
            </w:r>
          </w:p>
        </w:tc>
        <w:tc>
          <w:tcPr>
            <w:tcW w:type="dxa" w:w="55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Do you have dedicated ML engineers, data engineers, and MLOps engineers in post?</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Q8</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Talent</w:t>
            </w:r>
          </w:p>
        </w:tc>
        <w:tc>
          <w:tcPr>
            <w:tcW w:type="dxa" w:w="55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Has the full leadership team completed a structured AI literacy programme?</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Q9</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Governance</w:t>
            </w:r>
          </w:p>
        </w:tc>
        <w:tc>
          <w:tcPr>
            <w:tcW w:type="dxa" w:w="55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Has a comprehensive AI inventory been completed with risk classification under the EU AI Act?</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Q10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8"/>
                <w:szCs w:val="18"/>
              </w:rPr>
              <w:t xml:space="preserve">Culture</w:t>
            </w:r>
          </w:p>
        </w:tc>
        <w:tc>
          <w:tcPr>
            <w:tcW w:type="dxa" w:w="55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val="false"/>
                <w:iCs w:val="false"/>
                <w:color w:val="2C3E50"/>
                <w:sz w:val="19"/>
                <w:szCs w:val="19"/>
              </w:rPr>
              <w:t xml:space="preserve">Is there a clear, honest workforce narrative about AI's impact on roles — with a support plan?</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jc w:val="center"/>
            </w:pPr>
            <w:r>
              <w:rPr>
                <w:rFonts w:ascii="Georgia" w:cs="Georgia" w:eastAsia="Georgia" w:hAnsi="Georgia"/>
                <w:b/>
                <w:bCs/>
                <w:color w:val="FFFFFF"/>
                <w:sz w:val="19"/>
                <w:szCs w:val="19"/>
              </w:rPr>
              <w:t xml:space="preserv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8"/>
                <w:szCs w:val="18"/>
              </w:rPr>
              <w:t xml:space="preserve">TOTAL</w:t>
            </w:r>
          </w:p>
        </w:tc>
        <w:tc>
          <w:tcPr>
            <w:tcW w:type="dxa" w:w="55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i/>
                <w:iCs/>
                <w:color w:val="FFFFFF"/>
                <w:sz w:val="17"/>
                <w:szCs w:val="17"/>
              </w:rPr>
              <w:t xml:space="preserve">Maximum 50 points. Below 30: critical gaps exist. 30–40: developing. 40+: ready for full assessment.</w:t>
            </w:r>
          </w:p>
        </w:tc>
        <w:tc>
          <w:tcPr>
            <w:tcW w:type="dxa" w:w="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0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9"/>
                <w:szCs w:val="19"/>
              </w:rPr>
              <w:t xml:space="preserve">/ 50</w:t>
            </w:r>
          </w:p>
        </w:tc>
      </w:tr>
    </w:tbl>
    <w:p>
      <w:r>
        <w:br w:type="page"/>
      </w:r>
    </w:p>
    <w:p>
      <w:pPr>
        <w:spacing w:before="480" w:after="120"/>
      </w:pPr>
      <w:r>
        <w:rPr>
          <w:rFonts w:ascii="Georgia" w:cs="Georgia" w:eastAsia="Georgia" w:hAnsi="Georgia"/>
          <w:b/>
          <w:bCs/>
          <w:color w:val="1C2833"/>
          <w:sz w:val="52"/>
          <w:szCs w:val="52"/>
        </w:rPr>
        <w:t xml:space="preserve">Industry Benchmarks</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Where do you stand relative to peers? These benchmarks are based on composite data from enterprise AI readiness research including McKinsey, PwC, Stanford AI Index, and Gartner surveys from 2024–2025.</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Organisation type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Typical score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AI leaders</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Top quartile</w:t>
            </w:r>
          </w:p>
        </w:tc>
        <w:tc>
          <w:tcPr>
            <w:tcW w:type="dxa" w:w="17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Your score</w:t>
            </w:r>
          </w:p>
        </w:tc>
      </w:tr>
      <w:tr>
        <w:tc>
          <w:tcPr>
            <w:tcW w:type="dxa" w:w="2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Large enterprise (&gt;5,000 employees)</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70 – 85</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110+</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100+</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Mid-market (500–5,000 employees)</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55 – 75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100+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90+</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Financial services (regulated)</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75 – 90</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120+</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105+</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Healthcare (regulated)</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65 – 80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110+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95+</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Technology / digital-native companies</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80 – 100</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130+</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115+</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Manufacturing / industrial</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50 – 70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100+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85+</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Government / public sector</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45 – 65</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90+</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75+</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r>
        <w:tc>
          <w:tcPr>
            <w:tcW w:type="dxa" w:w="2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Consulting / professional services</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65 – 80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E8449"/>
                <w:sz w:val="19"/>
                <w:szCs w:val="19"/>
              </w:rPr>
              <w:t xml:space="preserve">110+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1A5276"/>
                <w:sz w:val="19"/>
                <w:szCs w:val="19"/>
              </w:rPr>
              <w:t xml:space="preserve">95+</w:t>
            </w:r>
          </w:p>
        </w:tc>
        <w:tc>
          <w:tcPr>
            <w:tcW w:type="dxa" w:w="1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bl>
    <w:p>
      <w:pPr>
        <w:spacing w:before="80" w:after="0"/>
      </w:pPr>
      <w:r>
        <w:rPr>
          <w:rFonts w:ascii="Georgia" w:cs="Georgia" w:eastAsia="Georgia" w:hAnsi="Georgia"/>
          <w:color w:val="2C3E50"/>
          <w:sz w:val="22"/>
          <w:szCs w:val="22"/>
        </w:rPr>
        <w:t xml:space="preserve"/>
      </w:r>
    </w:p>
    <w:p>
      <w:pPr>
        <w:spacing w:before="60" w:after="50"/>
      </w:pPr>
      <w:r>
        <w:rPr>
          <w:rFonts w:ascii="Georgia" w:cs="Georgia" w:eastAsia="Georgia" w:hAnsi="Georgia"/>
          <w:color w:val="566573"/>
          <w:sz w:val="21"/>
          <w:szCs w:val="21"/>
        </w:rPr>
        <w:t xml:space="preserve">Benchmark note: Scores reflect documented readiness, not ambition. AI leaders are organisations reporting &gt;5% EBIT from AI (McKinsey 2025). Top quartile reflects organisations with functional AI governance, MLOps, and data infrastructure in place.</w:t>
      </w:r>
    </w:p>
    <w:p>
      <w:r>
        <w:br w:type="page"/>
      </w:r>
    </w:p>
    <w:p>
      <w:pPr>
        <w:spacing w:before="480" w:after="120"/>
      </w:pPr>
      <w:r>
        <w:rPr>
          <w:rFonts w:ascii="Georgia" w:cs="Georgia" w:eastAsia="Georgia" w:hAnsi="Georgia"/>
          <w:b/>
          <w:bCs/>
          <w:color w:val="1C2833"/>
          <w:sz w:val="52"/>
          <w:szCs w:val="52"/>
        </w:rPr>
        <w:t xml:space="preserve">Failure Signals</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These are the score thresholds that research shows are predictive of AI project failure. If any of these apply to you, treat them as critical path items before committing to AI investment.</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20"/>
              <w:bottom w:type="dxa" w:w="120"/>
              <w:right w:type="dxa" w:w="100"/>
            </w:tcMar>
            <w:vAlign w:val="center"/>
          </w:tcPr>
          <w:p>
            <w:pPr>
              <w:jc w:val="center"/>
            </w:pPr>
            <w:r>
              <w:rPr>
                <w:rFonts w:ascii="Georgia" w:cs="Georgia" w:eastAsia="Georgia" w:hAnsi="Georgia"/>
                <w:b/>
                <w:bCs/>
                <w:color w:val="FFFFFF"/>
                <w:sz w:val="24"/>
                <w:szCs w:val="24"/>
              </w:rPr>
              <w:t xml:space="preserve">⚠</w:t>
            </w:r>
          </w:p>
        </w:tc>
        <w:tc>
          <w:tcPr>
            <w:tcW w:type="dxa" w:w="8960"/>
            <w:tcBorders>
              <w:top w:val="none" w:color="FFFFFF" w:sz="0"/>
              <w:left w:val="none" w:color="FFFFFF" w:sz="0"/>
              <w:bottom w:val="single" w:color="E5E7E9" w:sz="1"/>
              <w:right w:val="none" w:color="FFFFFF" w:sz="0"/>
            </w:tcBorders>
            <w:shd w:fill="FADBD8" w:val="clear"/>
            <w:tcMar>
              <w:top w:type="dxa" w:w="100"/>
              <w:left w:type="dxa" w:w="160"/>
              <w:bottom w:type="dxa" w:w="100"/>
              <w:right w:type="dxa" w:w="160"/>
            </w:tcMar>
          </w:tcPr>
          <w:p>
            <w:pPr>
              <w:spacing w:before="0" w:after="60"/>
            </w:pPr>
            <w:r>
              <w:rPr>
                <w:rFonts w:ascii="Georgia" w:cs="Georgia" w:eastAsia="Georgia" w:hAnsi="Georgia"/>
                <w:b/>
                <w:bCs/>
                <w:color w:val="C0392B"/>
                <w:sz w:val="20"/>
                <w:szCs w:val="20"/>
              </w:rPr>
              <w:t xml:space="preserve">FAILURE SIGNAL:  </w:t>
            </w:r>
            <w:r>
              <w:rPr>
                <w:rFonts w:ascii="Georgia" w:cs="Georgia" w:eastAsia="Georgia" w:hAnsi="Georgia"/>
                <w:b/>
                <w:bCs/>
                <w:color w:val="2C3E50"/>
                <w:sz w:val="20"/>
                <w:szCs w:val="20"/>
              </w:rPr>
              <w:t xml:space="preserve">Strategy dimension below 12</w:t>
            </w:r>
          </w:p>
          <w:p>
            <w:pPr>
              <w:spacing w:before="0" w:after="40"/>
            </w:pPr>
            <w:r>
              <w:rPr>
                <w:rFonts w:ascii="Georgia" w:cs="Georgia" w:eastAsia="Georgia" w:hAnsi="Georgia"/>
                <w:color w:val="2C3E50"/>
                <w:sz w:val="19"/>
                <w:szCs w:val="19"/>
              </w:rPr>
              <w:t xml:space="preserve">AI projects without board-level commitment lose budget in the first quarterly reforecast. Without a funded strategy, projects are cancelled before delivering value.</w:t>
            </w:r>
          </w:p>
          <w:p>
            <w:pPr>
              <w:spacing w:before="0" w:after="0"/>
            </w:pPr>
            <w:r>
              <w:rPr>
                <w:rFonts w:ascii="Georgia" w:cs="Georgia" w:eastAsia="Georgia" w:hAnsi="Georgia"/>
                <w:i/>
                <w:iCs/>
                <w:color w:val="566573"/>
                <w:sz w:val="18"/>
                <w:szCs w:val="18"/>
              </w:rPr>
              <w:t xml:space="preserve">MIT NANDA 2025: 95% of AI pilots fail to deliver measurable P&amp;L return. Executive ownership is the primary differentiator of the 5% that succeed.</w:t>
            </w:r>
          </w:p>
        </w:tc>
      </w:tr>
    </w:tbl>
    <w:p>
      <w:pPr>
        <w:spacing w:before="4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20"/>
              <w:bottom w:type="dxa" w:w="120"/>
              <w:right w:type="dxa" w:w="100"/>
            </w:tcMar>
            <w:vAlign w:val="center"/>
          </w:tcPr>
          <w:p>
            <w:pPr>
              <w:jc w:val="center"/>
            </w:pPr>
            <w:r>
              <w:rPr>
                <w:rFonts w:ascii="Georgia" w:cs="Georgia" w:eastAsia="Georgia" w:hAnsi="Georgia"/>
                <w:b/>
                <w:bCs/>
                <w:color w:val="FFFFFF"/>
                <w:sz w:val="24"/>
                <w:szCs w:val="24"/>
              </w:rPr>
              <w:t xml:space="preserve">⚠</w:t>
            </w:r>
          </w:p>
        </w:tc>
        <w:tc>
          <w:tcPr>
            <w:tcW w:type="dxa" w:w="8960"/>
            <w:tcBorders>
              <w:top w:val="none" w:color="FFFFFF" w:sz="0"/>
              <w:left w:val="none" w:color="FFFFFF" w:sz="0"/>
              <w:bottom w:val="single" w:color="E5E7E9" w:sz="1"/>
              <w:right w:val="none" w:color="FFFFFF" w:sz="0"/>
            </w:tcBorders>
            <w:shd w:fill="FADBD8" w:val="clear"/>
            <w:tcMar>
              <w:top w:type="dxa" w:w="100"/>
              <w:left w:type="dxa" w:w="160"/>
              <w:bottom w:type="dxa" w:w="100"/>
              <w:right w:type="dxa" w:w="160"/>
            </w:tcMar>
          </w:tcPr>
          <w:p>
            <w:pPr>
              <w:spacing w:before="0" w:after="60"/>
            </w:pPr>
            <w:r>
              <w:rPr>
                <w:rFonts w:ascii="Georgia" w:cs="Georgia" w:eastAsia="Georgia" w:hAnsi="Georgia"/>
                <w:b/>
                <w:bCs/>
                <w:color w:val="C0392B"/>
                <w:sz w:val="20"/>
                <w:szCs w:val="20"/>
              </w:rPr>
              <w:t xml:space="preserve">FAILURE SIGNAL:  </w:t>
            </w:r>
            <w:r>
              <w:rPr>
                <w:rFonts w:ascii="Georgia" w:cs="Georgia" w:eastAsia="Georgia" w:hAnsi="Georgia"/>
                <w:b/>
                <w:bCs/>
                <w:color w:val="2C3E50"/>
                <w:sz w:val="20"/>
                <w:szCs w:val="20"/>
              </w:rPr>
              <w:t xml:space="preserve">Data dimension below 12</w:t>
            </w:r>
          </w:p>
          <w:p>
            <w:pPr>
              <w:spacing w:before="0" w:after="40"/>
            </w:pPr>
            <w:r>
              <w:rPr>
                <w:rFonts w:ascii="Georgia" w:cs="Georgia" w:eastAsia="Georgia" w:hAnsi="Georgia"/>
                <w:color w:val="2C3E50"/>
                <w:sz w:val="19"/>
                <w:szCs w:val="19"/>
              </w:rPr>
              <w:t xml:space="preserve">No data infrastructure means every AI project begins with a 3–6 month data discovery exercise. Most never recover. Poor training data produces confidently wrong models.</w:t>
            </w:r>
          </w:p>
          <w:p>
            <w:pPr>
              <w:spacing w:before="0" w:after="0"/>
            </w:pPr>
            <w:r>
              <w:rPr>
                <w:rFonts w:ascii="Georgia" w:cs="Georgia" w:eastAsia="Georgia" w:hAnsi="Georgia"/>
                <w:i/>
                <w:iCs/>
                <w:color w:val="566573"/>
                <w:sz w:val="18"/>
                <w:szCs w:val="18"/>
              </w:rPr>
              <w:t xml:space="preserve">Informatica CDO Insights 2025: Data quality and readiness is cited by 43% of organisations as the #1 obstacle to AI success.</w:t>
            </w:r>
          </w:p>
        </w:tc>
      </w:tr>
    </w:tbl>
    <w:p>
      <w:pPr>
        <w:spacing w:before="4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20"/>
              <w:bottom w:type="dxa" w:w="120"/>
              <w:right w:type="dxa" w:w="100"/>
            </w:tcMar>
            <w:vAlign w:val="center"/>
          </w:tcPr>
          <w:p>
            <w:pPr>
              <w:jc w:val="center"/>
            </w:pPr>
            <w:r>
              <w:rPr>
                <w:rFonts w:ascii="Georgia" w:cs="Georgia" w:eastAsia="Georgia" w:hAnsi="Georgia"/>
                <w:b/>
                <w:bCs/>
                <w:color w:val="FFFFFF"/>
                <w:sz w:val="24"/>
                <w:szCs w:val="24"/>
              </w:rPr>
              <w:t xml:space="preserve">⚠</w:t>
            </w:r>
          </w:p>
        </w:tc>
        <w:tc>
          <w:tcPr>
            <w:tcW w:type="dxa" w:w="8960"/>
            <w:tcBorders>
              <w:top w:val="none" w:color="FFFFFF" w:sz="0"/>
              <w:left w:val="none" w:color="FFFFFF" w:sz="0"/>
              <w:bottom w:val="single" w:color="E5E7E9" w:sz="1"/>
              <w:right w:val="none" w:color="FFFFFF" w:sz="0"/>
            </w:tcBorders>
            <w:shd w:fill="FADBD8" w:val="clear"/>
            <w:tcMar>
              <w:top w:type="dxa" w:w="100"/>
              <w:left w:type="dxa" w:w="160"/>
              <w:bottom w:type="dxa" w:w="100"/>
              <w:right w:type="dxa" w:w="160"/>
            </w:tcMar>
          </w:tcPr>
          <w:p>
            <w:pPr>
              <w:spacing w:before="0" w:after="60"/>
            </w:pPr>
            <w:r>
              <w:rPr>
                <w:rFonts w:ascii="Georgia" w:cs="Georgia" w:eastAsia="Georgia" w:hAnsi="Georgia"/>
                <w:b/>
                <w:bCs/>
                <w:color w:val="C0392B"/>
                <w:sz w:val="20"/>
                <w:szCs w:val="20"/>
              </w:rPr>
              <w:t xml:space="preserve">FAILURE SIGNAL:  </w:t>
            </w:r>
            <w:r>
              <w:rPr>
                <w:rFonts w:ascii="Georgia" w:cs="Georgia" w:eastAsia="Georgia" w:hAnsi="Georgia"/>
                <w:b/>
                <w:bCs/>
                <w:color w:val="2C3E50"/>
                <w:sz w:val="20"/>
                <w:szCs w:val="20"/>
              </w:rPr>
              <w:t xml:space="preserve">Governance dimension below 12</w:t>
            </w:r>
          </w:p>
          <w:p>
            <w:pPr>
              <w:spacing w:before="0" w:after="40"/>
            </w:pPr>
            <w:r>
              <w:rPr>
                <w:rFonts w:ascii="Georgia" w:cs="Georgia" w:eastAsia="Georgia" w:hAnsi="Georgia"/>
                <w:color w:val="2C3E50"/>
                <w:sz w:val="19"/>
                <w:szCs w:val="19"/>
              </w:rPr>
              <w:t xml:space="preserve">Operating AI without governance creates regulatory exposure under the EU AI Act (enforceable August 2026, fines up to €35M or 7% of global turnover) and DPDP.</w:t>
            </w:r>
          </w:p>
          <w:p>
            <w:pPr>
              <w:spacing w:before="0" w:after="0"/>
            </w:pPr>
            <w:r>
              <w:rPr>
                <w:rFonts w:ascii="Georgia" w:cs="Georgia" w:eastAsia="Georgia" w:hAnsi="Georgia"/>
                <w:i/>
                <w:iCs/>
                <w:color w:val="566573"/>
                <w:sz w:val="18"/>
                <w:szCs w:val="18"/>
              </w:rPr>
              <w:t xml:space="preserve">Stanford AI Index 2025: Only 11% of organisations have fully implemented fundamental responsible AI capabilities despite widespread AI adoption.</w:t>
            </w:r>
          </w:p>
        </w:tc>
      </w:tr>
    </w:tbl>
    <w:p>
      <w:pPr>
        <w:spacing w:before="4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20"/>
              <w:bottom w:type="dxa" w:w="120"/>
              <w:right w:type="dxa" w:w="100"/>
            </w:tcMar>
            <w:vAlign w:val="center"/>
          </w:tcPr>
          <w:p>
            <w:pPr>
              <w:jc w:val="center"/>
            </w:pPr>
            <w:r>
              <w:rPr>
                <w:rFonts w:ascii="Georgia" w:cs="Georgia" w:eastAsia="Georgia" w:hAnsi="Georgia"/>
                <w:b/>
                <w:bCs/>
                <w:color w:val="FFFFFF"/>
                <w:sz w:val="24"/>
                <w:szCs w:val="24"/>
              </w:rPr>
              <w:t xml:space="preserve">⚠</w:t>
            </w:r>
          </w:p>
        </w:tc>
        <w:tc>
          <w:tcPr>
            <w:tcW w:type="dxa" w:w="8960"/>
            <w:tcBorders>
              <w:top w:val="none" w:color="FFFFFF" w:sz="0"/>
              <w:left w:val="none" w:color="FFFFFF" w:sz="0"/>
              <w:bottom w:val="single" w:color="E5E7E9" w:sz="1"/>
              <w:right w:val="none" w:color="FFFFFF" w:sz="0"/>
            </w:tcBorders>
            <w:shd w:fill="FADBD8" w:val="clear"/>
            <w:tcMar>
              <w:top w:type="dxa" w:w="100"/>
              <w:left w:type="dxa" w:w="160"/>
              <w:bottom w:type="dxa" w:w="100"/>
              <w:right w:type="dxa" w:w="160"/>
            </w:tcMar>
          </w:tcPr>
          <w:p>
            <w:pPr>
              <w:spacing w:before="0" w:after="60"/>
            </w:pPr>
            <w:r>
              <w:rPr>
                <w:rFonts w:ascii="Georgia" w:cs="Georgia" w:eastAsia="Georgia" w:hAnsi="Georgia"/>
                <w:b/>
                <w:bCs/>
                <w:color w:val="C0392B"/>
                <w:sz w:val="20"/>
                <w:szCs w:val="20"/>
              </w:rPr>
              <w:t xml:space="preserve">FAILURE SIGNAL:  </w:t>
            </w:r>
            <w:r>
              <w:rPr>
                <w:rFonts w:ascii="Georgia" w:cs="Georgia" w:eastAsia="Georgia" w:hAnsi="Georgia"/>
                <w:b/>
                <w:bCs/>
                <w:color w:val="2C3E50"/>
                <w:sz w:val="20"/>
                <w:szCs w:val="20"/>
              </w:rPr>
              <w:t xml:space="preserve">Talent dimension below 12</w:t>
            </w:r>
          </w:p>
          <w:p>
            <w:pPr>
              <w:spacing w:before="0" w:after="40"/>
            </w:pPr>
            <w:r>
              <w:rPr>
                <w:rFonts w:ascii="Georgia" w:cs="Georgia" w:eastAsia="Georgia" w:hAnsi="Georgia"/>
                <w:color w:val="2C3E50"/>
                <w:sz w:val="19"/>
                <w:szCs w:val="19"/>
              </w:rPr>
              <w:t xml:space="preserve">Missing ML, data, or MLOps roles cannot be filled fast enough to save a committed project. Hiring ML talent takes 3–6 months on average. Projects stall at the build phase.</w:t>
            </w:r>
          </w:p>
          <w:p>
            <w:pPr>
              <w:spacing w:before="0" w:after="0"/>
            </w:pPr>
            <w:r>
              <w:rPr>
                <w:rFonts w:ascii="Georgia" w:cs="Georgia" w:eastAsia="Georgia" w:hAnsi="Georgia"/>
                <w:i/>
                <w:iCs/>
                <w:color w:val="566573"/>
                <w:sz w:val="18"/>
                <w:szCs w:val="18"/>
              </w:rPr>
              <w:t xml:space="preserve">RAND Corporation 2024: Missing domain expertise is one of the five root causes of AI project failure, identified across 80%+ of failed programmes.</w:t>
            </w:r>
          </w:p>
        </w:tc>
      </w:tr>
    </w:tbl>
    <w:p>
      <w:pPr>
        <w:spacing w:before="4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20"/>
              <w:bottom w:type="dxa" w:w="120"/>
              <w:right w:type="dxa" w:w="100"/>
            </w:tcMar>
            <w:vAlign w:val="center"/>
          </w:tcPr>
          <w:p>
            <w:pPr>
              <w:jc w:val="center"/>
            </w:pPr>
            <w:r>
              <w:rPr>
                <w:rFonts w:ascii="Georgia" w:cs="Georgia" w:eastAsia="Georgia" w:hAnsi="Georgia"/>
                <w:b/>
                <w:bCs/>
                <w:color w:val="FFFFFF"/>
                <w:sz w:val="24"/>
                <w:szCs w:val="24"/>
              </w:rPr>
              <w:t xml:space="preserve">⚠</w:t>
            </w:r>
          </w:p>
        </w:tc>
        <w:tc>
          <w:tcPr>
            <w:tcW w:type="dxa" w:w="8960"/>
            <w:tcBorders>
              <w:top w:val="none" w:color="FFFFFF" w:sz="0"/>
              <w:left w:val="none" w:color="FFFFFF" w:sz="0"/>
              <w:bottom w:val="single" w:color="E5E7E9" w:sz="1"/>
              <w:right w:val="none" w:color="FFFFFF" w:sz="0"/>
            </w:tcBorders>
            <w:shd w:fill="FADBD8" w:val="clear"/>
            <w:tcMar>
              <w:top w:type="dxa" w:w="100"/>
              <w:left w:type="dxa" w:w="160"/>
              <w:bottom w:type="dxa" w:w="100"/>
              <w:right w:type="dxa" w:w="160"/>
            </w:tcMar>
          </w:tcPr>
          <w:p>
            <w:pPr>
              <w:spacing w:before="0" w:after="60"/>
            </w:pPr>
            <w:r>
              <w:rPr>
                <w:rFonts w:ascii="Georgia" w:cs="Georgia" w:eastAsia="Georgia" w:hAnsi="Georgia"/>
                <w:b/>
                <w:bCs/>
                <w:color w:val="C0392B"/>
                <w:sz w:val="20"/>
                <w:szCs w:val="20"/>
              </w:rPr>
              <w:t xml:space="preserve">FAILURE SIGNAL:  </w:t>
            </w:r>
            <w:r>
              <w:rPr>
                <w:rFonts w:ascii="Georgia" w:cs="Georgia" w:eastAsia="Georgia" w:hAnsi="Georgia"/>
                <w:b/>
                <w:bCs/>
                <w:color w:val="2C3E50"/>
                <w:sz w:val="20"/>
                <w:szCs w:val="20"/>
              </w:rPr>
              <w:t xml:space="preserve">Any single dimension below 10</w:t>
            </w:r>
          </w:p>
          <w:p>
            <w:pPr>
              <w:spacing w:before="0" w:after="40"/>
            </w:pPr>
            <w:r>
              <w:rPr>
                <w:rFonts w:ascii="Georgia" w:cs="Georgia" w:eastAsia="Georgia" w:hAnsi="Georgia"/>
                <w:color w:val="2C3E50"/>
                <w:sz w:val="19"/>
                <w:szCs w:val="19"/>
              </w:rPr>
              <w:t xml:space="preserve">A critical gap in any dimension will undermine projects regardless of scores in other dimensions. AI projects fail at their weakest link, not their strongest.</w:t>
            </w:r>
          </w:p>
          <w:p>
            <w:pPr>
              <w:spacing w:before="0" w:after="0"/>
            </w:pPr>
            <w:r>
              <w:rPr>
                <w:rFonts w:ascii="Georgia" w:cs="Georgia" w:eastAsia="Georgia" w:hAnsi="Georgia"/>
                <w:i/>
                <w:iCs/>
                <w:color w:val="566573"/>
                <w:sz w:val="18"/>
                <w:szCs w:val="18"/>
              </w:rPr>
              <w:t xml:space="preserve">BCG Research: Only 26% of companies generate tangible value from AI. 74% struggle to scale — most cite one or two critical gaps that block the entire programme.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1  —  STRATEGY</w:t>
            </w:r>
          </w:p>
          <w:p>
            <w:pPr>
              <w:spacing w:before="0" w:after="0"/>
            </w:pPr>
            <w:r>
              <w:rPr>
                <w:rFonts w:ascii="Georgia" w:cs="Georgia" w:eastAsia="Georgia" w:hAnsi="Georgia"/>
                <w:i/>
                <w:iCs/>
                <w:color w:val="FFFFFF"/>
                <w:sz w:val="20"/>
                <w:szCs w:val="20"/>
              </w:rPr>
              <w:t xml:space="preserve">Does leadership have a coherent, funded, and committed AI strategy?</w:t>
            </w:r>
          </w:p>
        </w:tc>
      </w:tr>
    </w:tbl>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40"/>
            </w:pPr>
            <w:r>
              <w:rPr>
                <w:rFonts w:ascii="Georgia" w:cs="Georgia" w:eastAsia="Georgia" w:hAnsi="Georgia"/>
                <w:b/>
                <w:bCs/>
                <w:color w:val="C0392B"/>
                <w:sz w:val="20"/>
                <w:szCs w:val="20"/>
              </w:rPr>
              <w:t xml:space="preserve">Nascent</w:t>
            </w:r>
          </w:p>
          <w:p>
            <w:pPr>
              <w:spacing w:before="0" w:after="0"/>
            </w:pPr>
            <w:r>
              <w:rPr>
                <w:rFonts w:ascii="Georgia" w:cs="Georgia" w:eastAsia="Georgia" w:hAnsi="Georgia"/>
                <w:color w:val="566573"/>
                <w:sz w:val="18"/>
                <w:szCs w:val="18"/>
              </w:rPr>
              <w:t xml:space="preserve">0 – 10</w:t>
            </w:r>
          </w:p>
        </w:tc>
        <w:tc>
          <w:tcPr>
            <w:tcW w:type="dxa" w:w="234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40"/>
            </w:pPr>
            <w:r>
              <w:rPr>
                <w:rFonts w:ascii="Georgia" w:cs="Georgia" w:eastAsia="Georgia" w:hAnsi="Georgia"/>
                <w:b/>
                <w:bCs/>
                <w:color w:val="D68910"/>
                <w:sz w:val="20"/>
                <w:szCs w:val="20"/>
              </w:rPr>
              <w:t xml:space="preserve">Emerging</w:t>
            </w:r>
          </w:p>
          <w:p>
            <w:pPr>
              <w:spacing w:before="0" w:after="0"/>
            </w:pPr>
            <w:r>
              <w:rPr>
                <w:rFonts w:ascii="Georgia" w:cs="Georgia" w:eastAsia="Georgia" w:hAnsi="Georgia"/>
                <w:color w:val="566573"/>
                <w:sz w:val="18"/>
                <w:szCs w:val="18"/>
              </w:rPr>
              <w:t xml:space="preserve">11 – 17</w:t>
            </w:r>
          </w:p>
        </w:tc>
        <w:tc>
          <w:tcPr>
            <w:tcW w:type="dxa" w:w="234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40"/>
            </w:pPr>
            <w:r>
              <w:rPr>
                <w:rFonts w:ascii="Georgia" w:cs="Georgia" w:eastAsia="Georgia" w:hAnsi="Georgia"/>
                <w:b/>
                <w:bCs/>
                <w:color w:val="1A5276"/>
                <w:sz w:val="20"/>
                <w:szCs w:val="20"/>
              </w:rPr>
              <w:t xml:space="preserve">Operational</w:t>
            </w:r>
          </w:p>
          <w:p>
            <w:pPr>
              <w:spacing w:before="0" w:after="0"/>
            </w:pPr>
            <w:r>
              <w:rPr>
                <w:rFonts w:ascii="Georgia" w:cs="Georgia" w:eastAsia="Georgia" w:hAnsi="Georgia"/>
                <w:color w:val="566573"/>
                <w:sz w:val="18"/>
                <w:szCs w:val="18"/>
              </w:rPr>
              <w:t xml:space="preserve">18 – 22</w:t>
            </w:r>
          </w:p>
        </w:tc>
        <w:tc>
          <w:tcPr>
            <w:tcW w:type="dxa" w:w="234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40"/>
            </w:pPr>
            <w:r>
              <w:rPr>
                <w:rFonts w:ascii="Georgia" w:cs="Georgia" w:eastAsia="Georgia" w:hAnsi="Georgia"/>
                <w:b/>
                <w:bCs/>
                <w:color w:val="1E8449"/>
                <w:sz w:val="20"/>
                <w:szCs w:val="20"/>
              </w:rPr>
              <w:t xml:space="preserve">Leading</w:t>
            </w:r>
          </w:p>
          <w:p>
            <w:pPr>
              <w:spacing w:before="0" w:after="0"/>
            </w:pPr>
            <w:r>
              <w:rPr>
                <w:rFonts w:ascii="Georgia" w:cs="Georgia" w:eastAsia="Georgia" w:hAnsi="Georgia"/>
                <w:color w:val="566573"/>
                <w:sz w:val="18"/>
                <w:szCs w:val="18"/>
              </w:rPr>
              <w:t xml:space="preserve">23 – 25</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board approved a specific AI strategy with named owners and measurable 12-month targets?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Vague ambition ('AI is a priority') provides no operational direction and will not protect AI projects when budget pressure arrives. A real strategy specifies: which business functions, what investment, what milestones, who is accountable.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strategy exists beyond general intent. Executive support exists in principle but no specific investment decisions have been made.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strategy document exists but lacks specific milestones, measurable outcomes, or a clear link to business priorities and funding.</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Board-approved strategy with defined investment envelope, named executive owner, measurable 12-month targets, and quarterly review cadence.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dedicated AI budget — separate from general IT or innovation budgets?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investment commingled with general IT budgets is the first cut under cost pressure. A dedicated budget signals strategic commitment and forces lifecycle cost planning — including ongoing operations, retraining, and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projects are funded ad-hoc. No central AI investment plan. Funding must be secured project by project through normal approval cycles.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partial AI budget exists but does not cover the full lifecycle cost — operations, governance, and infrastructure are excluded.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Dedicated AI budget approved at board level covers: programmes, platform infrastructure, talent, tooling, governance, and ongoing operations.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organisation prioritised the 3–5 business problems most suited to AI using consistent criteria?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Spreading investment across too many concurrent experiments produces a portfolio of underfunded failures. Organisations that succeed identify a small number of high-value, high-feasibility use cases and go deep.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formal prioritisation. Multiple teams pursue independent experiments without central portfolio view, duplicating effort and competing for talent.</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Prioritisation started but not completed. Some use cases identified without consistent criteria, funding, or accountable owners.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Formal prioritisation exercise completed. Top 3–5 use cases documented with business case, feasibility, data readiness, and named owner. Portfolio reviewed quarterly.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Q4</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AI strategy align with and serve the broader business strategy — not exist as a separate technology initiative?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adjacent to business strategy generates technology for its own sake. AI embedded in business strategy produces workflow redesign and measurable value. McKinsey: organisations redesigning workflows before selecting AI techniques were 2x more likely to report significant returns.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strategy is owned by IT with limited business unit involvement. Business leaders see it as an IT project.</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strategy references business priorities but is not operationalised. Business units are aware but have not redesigned core workflows.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strategy co-owned by business and technology. Each programme has a business owner who has committed to workflow redesign. AI is embedded in business planning cycles.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Q5</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governance structure for AI investment decisions — including the authority to stop failing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Organisations that cannot stop failing AI projects waste significantly more than those that never started them. Without defined gate criteria and portfolio authority, sunk cost arguments override objective assessment indefinitely.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investment decisions are informal. No portfolio view, no gate criteria, no mechanism to stop underperforming projects.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steering committee exists but lacks defined gate criteria, full portfolio visibility, or demonstrated authority to stop projects.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Functioning AI governance with defined membership, meeting cadence, documented gate criteria, full portfolio view, and demonstrated project-stopping authority.</w:t>
                  </w:r>
                </w:p>
              </w:tc>
            </w:tr>
          </w:tbl>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E5E7E9" w:sz="1"/>
              <w:bottom w:val="single" w:color="E5E7E9" w:sz="1"/>
              <w:right w:val="single" w:color="E5E7E9" w:sz="1"/>
            </w:tcBorders>
            <w:shd w:fill="F4F6F7" w:val="clear"/>
            <w:tcMar>
              <w:top w:type="dxa" w:w="160"/>
              <w:left w:type="dxa" w:w="200"/>
              <w:bottom w:type="dxa" w:w="160"/>
              <w:right w:type="dxa" w:w="200"/>
            </w:tcMar>
          </w:tcPr>
          <w:p>
            <w:pPr>
              <w:spacing w:before="0" w:after="100"/>
            </w:pPr>
            <w:r>
              <w:rPr>
                <w:rFonts w:ascii="Georgia" w:cs="Georgia" w:eastAsia="Georgia" w:hAnsi="Georgia"/>
                <w:b/>
                <w:bCs/>
                <w:color w:val="1A5276"/>
                <w:sz w:val="21"/>
                <w:szCs w:val="21"/>
              </w:rPr>
              <w:t xml:space="preserve">What to do next — Strategy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7"/>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8"/>
                      <w:szCs w:val="18"/>
                    </w:rPr>
                    <w:t xml:space="preserve">⚠  Score 0–10  (Nascent)</w:t>
                  </w:r>
                </w:p>
              </w:tc>
              <w:tc>
                <w:tcPr>
                  <w:tcW w:type="dxa" w:w="2987"/>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8"/>
                      <w:szCs w:val="18"/>
                    </w:rPr>
                    <w:t xml:space="preserve">◑  Score 11–17  (Emerging)</w:t>
                  </w:r>
                </w:p>
              </w:tc>
              <w:tc>
                <w:tcPr>
                  <w:tcW w:type="dxa" w:w="2987"/>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8"/>
                      <w:szCs w:val="18"/>
                    </w:rPr>
                    <w:t xml:space="preserve">✓  Score 18–25  (Operational+)</w:t>
                  </w:r>
                </w:p>
              </w:tc>
            </w:tr>
            <w:tr>
              <w:tc>
                <w:tcPr>
                  <w:tcW w:type="dxa" w:w="2987"/>
                  <w:tcBorders>
                    <w:top w:val="single" w:color="E5E7E9" w:sz="1"/>
                    <w:left w:val="single" w:color="E5E7E9" w:sz="1"/>
                    <w:bottom w:val="single" w:color="E5E7E9" w:sz="1"/>
                    <w:right w:val="single" w:color="E5E7E9" w:sz="1"/>
                  </w:tcBorders>
                  <w:shd w:fill="FADBD8"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Appoint a named AI executive owner</w:t>
                  </w:r>
                </w:p>
                <w:p>
                  <w:pPr>
                    <w:spacing w:before="0" w:after="30"/>
                  </w:pPr>
                  <w:r>
                    <w:rPr>
                      <w:rFonts w:ascii="Georgia" w:cs="Georgia" w:eastAsia="Georgia" w:hAnsi="Georgia"/>
                      <w:color w:val="2C3E50"/>
                      <w:sz w:val="18"/>
                      <w:szCs w:val="18"/>
                    </w:rPr>
                    <w:t xml:space="preserve">• Define 3 specific AI goals for next 12 months</w:t>
                  </w:r>
                </w:p>
                <w:p>
                  <w:pPr>
                    <w:spacing w:before="0" w:after="30"/>
                  </w:pPr>
                  <w:r>
                    <w:rPr>
                      <w:rFonts w:ascii="Georgia" w:cs="Georgia" w:eastAsia="Georgia" w:hAnsi="Georgia"/>
                      <w:color w:val="2C3E50"/>
                      <w:sz w:val="18"/>
                      <w:szCs w:val="18"/>
                    </w:rPr>
                    <w:t xml:space="preserve">• Secure dedicated AI budget line item</w:t>
                  </w:r>
                </w:p>
                <w:p>
                  <w:pPr>
                    <w:spacing w:before="0" w:after="30"/>
                  </w:pPr>
                  <w:r>
                    <w:rPr>
                      <w:rFonts w:ascii="Georgia" w:cs="Georgia" w:eastAsia="Georgia" w:hAnsi="Georgia"/>
                      <w:color w:val="2C3E50"/>
                      <w:sz w:val="18"/>
                      <w:szCs w:val="18"/>
                    </w:rPr>
                    <w:t xml:space="preserve">• Run a use case prioritisation exercise</w:t>
                  </w:r>
                </w:p>
              </w:tc>
              <w:tc>
                <w:tcPr>
                  <w:tcW w:type="dxa" w:w="2987"/>
                  <w:tcBorders>
                    <w:top w:val="single" w:color="E5E7E9" w:sz="1"/>
                    <w:left w:val="single" w:color="E5E7E9" w:sz="1"/>
                    <w:bottom w:val="single" w:color="E5E7E9" w:sz="1"/>
                    <w:right w:val="single" w:color="E5E7E9" w:sz="1"/>
                  </w:tcBorders>
                  <w:shd w:fill="FDEBD0"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Formalise strategy with measurable milestones</w:t>
                  </w:r>
                </w:p>
                <w:p>
                  <w:pPr>
                    <w:spacing w:before="0" w:after="30"/>
                  </w:pPr>
                  <w:r>
                    <w:rPr>
                      <w:rFonts w:ascii="Georgia" w:cs="Georgia" w:eastAsia="Georgia" w:hAnsi="Georgia"/>
                      <w:color w:val="2C3E50"/>
                      <w:sz w:val="18"/>
                      <w:szCs w:val="18"/>
                    </w:rPr>
                    <w:t xml:space="preserve">• Connect AI strategy to business planning cycle</w:t>
                  </w:r>
                </w:p>
                <w:p>
                  <w:pPr>
                    <w:spacing w:before="0" w:after="30"/>
                  </w:pPr>
                  <w:r>
                    <w:rPr>
                      <w:rFonts w:ascii="Georgia" w:cs="Georgia" w:eastAsia="Georgia" w:hAnsi="Georgia"/>
                      <w:color w:val="2C3E50"/>
                      <w:sz w:val="18"/>
                      <w:szCs w:val="18"/>
                    </w:rPr>
                    <w:t xml:space="preserve">• Build portfolio review cadence</w:t>
                  </w:r>
                </w:p>
                <w:p>
                  <w:pPr>
                    <w:spacing w:before="0" w:after="30"/>
                  </w:pPr>
                  <w:r>
                    <w:rPr>
                      <w:rFonts w:ascii="Georgia" w:cs="Georgia" w:eastAsia="Georgia" w:hAnsi="Georgia"/>
                      <w:color w:val="2C3E50"/>
                      <w:sz w:val="18"/>
                      <w:szCs w:val="18"/>
                    </w:rPr>
                    <w:t xml:space="preserve">• Define investment gate criteria</w:t>
                  </w:r>
                </w:p>
              </w:tc>
              <w:tc>
                <w:tcPr>
                  <w:tcW w:type="dxa" w:w="2987"/>
                  <w:tcBorders>
                    <w:top w:val="single" w:color="E5E7E9" w:sz="1"/>
                    <w:left w:val="single" w:color="E5E7E9" w:sz="1"/>
                    <w:bottom w:val="single" w:color="E5E7E9" w:sz="1"/>
                    <w:right w:val="single" w:color="E5E7E9" w:sz="1"/>
                  </w:tcBorders>
                  <w:shd w:fill="D5F5E3"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Optimise portfolio allocation</w:t>
                  </w:r>
                </w:p>
                <w:p>
                  <w:pPr>
                    <w:spacing w:before="0" w:after="30"/>
                  </w:pPr>
                  <w:r>
                    <w:rPr>
                      <w:rFonts w:ascii="Georgia" w:cs="Georgia" w:eastAsia="Georgia" w:hAnsi="Georgia"/>
                      <w:color w:val="2C3E50"/>
                      <w:sz w:val="18"/>
                      <w:szCs w:val="18"/>
                    </w:rPr>
                    <w:t xml:space="preserve">• Expand AI governance to subsidiaries or regions</w:t>
                  </w:r>
                </w:p>
                <w:p>
                  <w:pPr>
                    <w:spacing w:before="0" w:after="30"/>
                  </w:pPr>
                  <w:r>
                    <w:rPr>
                      <w:rFonts w:ascii="Georgia" w:cs="Georgia" w:eastAsia="Georgia" w:hAnsi="Georgia"/>
                      <w:color w:val="2C3E50"/>
                      <w:sz w:val="18"/>
                      <w:szCs w:val="18"/>
                    </w:rPr>
                    <w:t xml:space="preserve">• Publish AI strategy externally as a trust signal</w:t>
                  </w:r>
                </w:p>
                <w:p>
                  <w:pPr>
                    <w:spacing w:before="0" w:after="30"/>
                  </w:pPr>
                  <w:r>
                    <w:rPr>
                      <w:rFonts w:ascii="Georgia" w:cs="Georgia" w:eastAsia="Georgia" w:hAnsi="Georgia"/>
                      <w:color w:val="2C3E50"/>
                      <w:sz w:val="18"/>
                      <w:szCs w:val="18"/>
                    </w:rPr>
                    <w:t xml:space="preserve">• Benchmark against AI leaders in your industry</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2  —  DATA</w:t>
            </w:r>
          </w:p>
          <w:p>
            <w:pPr>
              <w:spacing w:before="0" w:after="0"/>
            </w:pPr>
            <w:r>
              <w:rPr>
                <w:rFonts w:ascii="Georgia" w:cs="Georgia" w:eastAsia="Georgia" w:hAnsi="Georgia"/>
                <w:i/>
                <w:iCs/>
                <w:color w:val="FFFFFF"/>
                <w:sz w:val="20"/>
                <w:szCs w:val="20"/>
              </w:rPr>
              <w:t xml:space="preserve">Is your data ready to power AI systems at the quality and scale required?</w:t>
            </w:r>
          </w:p>
        </w:tc>
      </w:tr>
    </w:tbl>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40"/>
            </w:pPr>
            <w:r>
              <w:rPr>
                <w:rFonts w:ascii="Georgia" w:cs="Georgia" w:eastAsia="Georgia" w:hAnsi="Georgia"/>
                <w:b/>
                <w:bCs/>
                <w:color w:val="C0392B"/>
                <w:sz w:val="20"/>
                <w:szCs w:val="20"/>
              </w:rPr>
              <w:t xml:space="preserve">Nascent</w:t>
            </w:r>
          </w:p>
          <w:p>
            <w:pPr>
              <w:spacing w:before="0" w:after="0"/>
            </w:pPr>
            <w:r>
              <w:rPr>
                <w:rFonts w:ascii="Georgia" w:cs="Georgia" w:eastAsia="Georgia" w:hAnsi="Georgia"/>
                <w:color w:val="566573"/>
                <w:sz w:val="18"/>
                <w:szCs w:val="18"/>
              </w:rPr>
              <w:t xml:space="preserve">0 – 10</w:t>
            </w:r>
          </w:p>
        </w:tc>
        <w:tc>
          <w:tcPr>
            <w:tcW w:type="dxa" w:w="234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40"/>
            </w:pPr>
            <w:r>
              <w:rPr>
                <w:rFonts w:ascii="Georgia" w:cs="Georgia" w:eastAsia="Georgia" w:hAnsi="Georgia"/>
                <w:b/>
                <w:bCs/>
                <w:color w:val="D68910"/>
                <w:sz w:val="20"/>
                <w:szCs w:val="20"/>
              </w:rPr>
              <w:t xml:space="preserve">Emerging</w:t>
            </w:r>
          </w:p>
          <w:p>
            <w:pPr>
              <w:spacing w:before="0" w:after="0"/>
            </w:pPr>
            <w:r>
              <w:rPr>
                <w:rFonts w:ascii="Georgia" w:cs="Georgia" w:eastAsia="Georgia" w:hAnsi="Georgia"/>
                <w:color w:val="566573"/>
                <w:sz w:val="18"/>
                <w:szCs w:val="18"/>
              </w:rPr>
              <w:t xml:space="preserve">11 – 17</w:t>
            </w:r>
          </w:p>
        </w:tc>
        <w:tc>
          <w:tcPr>
            <w:tcW w:type="dxa" w:w="234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40"/>
            </w:pPr>
            <w:r>
              <w:rPr>
                <w:rFonts w:ascii="Georgia" w:cs="Georgia" w:eastAsia="Georgia" w:hAnsi="Georgia"/>
                <w:b/>
                <w:bCs/>
                <w:color w:val="1A5276"/>
                <w:sz w:val="20"/>
                <w:szCs w:val="20"/>
              </w:rPr>
              <w:t xml:space="preserve">Operational</w:t>
            </w:r>
          </w:p>
          <w:p>
            <w:pPr>
              <w:spacing w:before="0" w:after="0"/>
            </w:pPr>
            <w:r>
              <w:rPr>
                <w:rFonts w:ascii="Georgia" w:cs="Georgia" w:eastAsia="Georgia" w:hAnsi="Georgia"/>
                <w:color w:val="566573"/>
                <w:sz w:val="18"/>
                <w:szCs w:val="18"/>
              </w:rPr>
              <w:t xml:space="preserve">18 – 22</w:t>
            </w:r>
          </w:p>
        </w:tc>
        <w:tc>
          <w:tcPr>
            <w:tcW w:type="dxa" w:w="234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40"/>
            </w:pPr>
            <w:r>
              <w:rPr>
                <w:rFonts w:ascii="Georgia" w:cs="Georgia" w:eastAsia="Georgia" w:hAnsi="Georgia"/>
                <w:b/>
                <w:bCs/>
                <w:color w:val="1E8449"/>
                <w:sz w:val="20"/>
                <w:szCs w:val="20"/>
              </w:rPr>
              <w:t xml:space="preserve">Leading</w:t>
            </w:r>
          </w:p>
          <w:p>
            <w:pPr>
              <w:spacing w:before="0" w:after="0"/>
            </w:pPr>
            <w:r>
              <w:rPr>
                <w:rFonts w:ascii="Georgia" w:cs="Georgia" w:eastAsia="Georgia" w:hAnsi="Georgia"/>
                <w:color w:val="566573"/>
                <w:sz w:val="18"/>
                <w:szCs w:val="18"/>
              </w:rPr>
              <w:t xml:space="preserve">23 – 25</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Q6</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organisation have a maintained inventory of data assets — what exists, where it lives, and who owns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You cannot build AI on data you cannot find. Without an inventory, every project begins with a 3–6 month data discovery exercise that routinely consumes the majority of project budget before a single model is trained.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data inventory. Assets discovered on a project-by-project basis through tribal knowledge. No central catalogue, no consistent ownership.</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Partial inventory covering critical domains but incomplete, unmaintained, or inaccessible to project teams.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Maintained data catalogue covers all material assets with location, format, owner, quality rating, consent status, and access method. Integrated into project kickoff.</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Q7</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data quality actively managed with defined standards, measurement, and named accountability?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Data quality does not improve on its own. Without active management, quality degrades as systems change. For AI, poor data produces confidently wrong models — more dangerous than no model at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Data quality not systematically managed. Issues discovered reactively. No defined standards, no regular measurement, no named accountability.</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quality management exists for critical domains but not comprehensive, not connected to AI requirements, and not systematically measured.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Defined quality standards across all material domains with named stewards, regular measurement, leadership reporting, and a documented remediation process with SLA.</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Q8</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data governance framework — covering access, usage, retention, consent, and lineage?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creates new processing purposes that must be explicitly governed. The EU AI Act and DPDP both require demonstrable data governance as a precondition for deploying AI in regulated contexts.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formal framework. Access managed informally, retention undefined or unenforced, consent tracking absent.</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Framework exists on paper but is not fully operationalised. Some policies defined but not consistently enforced.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Comprehensive framework operationalised: role-based access controls, system-enforced retention, record-level consent tracking, queryable data lineage for all material flows.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Q9</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Can you rapidly build reliable, monitored data pipelines to deliver clean, current data to AI systems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The most common late-stage AI failure is discovering the data pipeline to production is more complex and fragile than the model itself. Production AI requires pipelines that are reliable, observable, and maintainable.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Pipelines built ad-hoc using manual processes or fragile scripts. No standard tooling, no monitoring, no documented ownership.</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pipeline infrastructure exists but inconsistently implemented, partially monitored, relying on individual expertise rather than documented systems.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Mature data engineering with standardised tooling, automated monitoring, documented ownership, and a track record of delivering reliable production pipelines on predictable timelines.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Q10</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data been assessed for AI-specific risks — bias, representativeness, and consent for training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Using personal data for AI training is a new processing purpose requiring separate legal basis under GDPR and DPDP. Historical data encodes historical biases. These risks discovered after deployment are expensive and reputationally damaging.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AI-specific data risk assessment. Organisation uses data for AI training without formal assessment of bias, representativeness, or consent for training.</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awareness exists and discussed, but no formal framework. Bias analysis conducted project by project without standard methodology.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AI-specific data risk assessment framework applied to all material AI programmes. Bias and representativeness analysis standard. Consent for training reviewed by legal for all data sources.</w:t>
                  </w:r>
                </w:p>
              </w:tc>
            </w:tr>
          </w:tbl>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6"/>
              <w:left w:val="single" w:color="E5E7E9" w:sz="1"/>
              <w:bottom w:val="single" w:color="E5E7E9" w:sz="1"/>
              <w:right w:val="single" w:color="E5E7E9" w:sz="1"/>
            </w:tcBorders>
            <w:shd w:fill="F4F6F7" w:val="clear"/>
            <w:tcMar>
              <w:top w:type="dxa" w:w="160"/>
              <w:left w:type="dxa" w:w="200"/>
              <w:bottom w:type="dxa" w:w="160"/>
              <w:right w:type="dxa" w:w="200"/>
            </w:tcMar>
          </w:tcPr>
          <w:p>
            <w:pPr>
              <w:spacing w:before="0" w:after="100"/>
            </w:pPr>
            <w:r>
              <w:rPr>
                <w:rFonts w:ascii="Georgia" w:cs="Georgia" w:eastAsia="Georgia" w:hAnsi="Georgia"/>
                <w:b/>
                <w:bCs/>
                <w:color w:val="117A65"/>
                <w:sz w:val="21"/>
                <w:szCs w:val="21"/>
              </w:rPr>
              <w:t xml:space="preserve">What to do next — Data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7"/>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8"/>
                      <w:szCs w:val="18"/>
                    </w:rPr>
                    <w:t xml:space="preserve">⚠  Score 0–10  (Nascent)</w:t>
                  </w:r>
                </w:p>
              </w:tc>
              <w:tc>
                <w:tcPr>
                  <w:tcW w:type="dxa" w:w="2987"/>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8"/>
                      <w:szCs w:val="18"/>
                    </w:rPr>
                    <w:t xml:space="preserve">◑  Score 11–17  (Emerging)</w:t>
                  </w:r>
                </w:p>
              </w:tc>
              <w:tc>
                <w:tcPr>
                  <w:tcW w:type="dxa" w:w="2987"/>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8"/>
                      <w:szCs w:val="18"/>
                    </w:rPr>
                    <w:t xml:space="preserve">✓  Score 18–25  (Operational+)</w:t>
                  </w:r>
                </w:p>
              </w:tc>
            </w:tr>
            <w:tr>
              <w:tc>
                <w:tcPr>
                  <w:tcW w:type="dxa" w:w="2987"/>
                  <w:tcBorders>
                    <w:top w:val="single" w:color="E5E7E9" w:sz="1"/>
                    <w:left w:val="single" w:color="E5E7E9" w:sz="1"/>
                    <w:bottom w:val="single" w:color="E5E7E9" w:sz="1"/>
                    <w:right w:val="single" w:color="E5E7E9" w:sz="1"/>
                  </w:tcBorders>
                  <w:shd w:fill="FADBD8"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Conduct data asset inventory (target: 30 days)</w:t>
                  </w:r>
                </w:p>
                <w:p>
                  <w:pPr>
                    <w:spacing w:before="0" w:after="30"/>
                  </w:pPr>
                  <w:r>
                    <w:rPr>
                      <w:rFonts w:ascii="Georgia" w:cs="Georgia" w:eastAsia="Georgia" w:hAnsi="Georgia"/>
                      <w:color w:val="2C3E50"/>
                      <w:sz w:val="18"/>
                      <w:szCs w:val="18"/>
                    </w:rPr>
                    <w:t xml:space="preserve">• Appoint data owners per domain</w:t>
                  </w:r>
                </w:p>
                <w:p>
                  <w:pPr>
                    <w:spacing w:before="0" w:after="30"/>
                  </w:pPr>
                  <w:r>
                    <w:rPr>
                      <w:rFonts w:ascii="Georgia" w:cs="Georgia" w:eastAsia="Georgia" w:hAnsi="Georgia"/>
                      <w:color w:val="2C3E50"/>
                      <w:sz w:val="18"/>
                      <w:szCs w:val="18"/>
                    </w:rPr>
                    <w:t xml:space="preserve">• Run first data quality audit</w:t>
                  </w:r>
                </w:p>
                <w:p>
                  <w:pPr>
                    <w:spacing w:before="0" w:after="30"/>
                  </w:pPr>
                  <w:r>
                    <w:rPr>
                      <w:rFonts w:ascii="Georgia" w:cs="Georgia" w:eastAsia="Georgia" w:hAnsi="Georgia"/>
                      <w:color w:val="2C3E50"/>
                      <w:sz w:val="18"/>
                      <w:szCs w:val="18"/>
                    </w:rPr>
                    <w:t xml:space="preserve">• Review consent status for top 5 data sources</w:t>
                  </w:r>
                </w:p>
              </w:tc>
              <w:tc>
                <w:tcPr>
                  <w:tcW w:type="dxa" w:w="2987"/>
                  <w:tcBorders>
                    <w:top w:val="single" w:color="E5E7E9" w:sz="1"/>
                    <w:left w:val="single" w:color="E5E7E9" w:sz="1"/>
                    <w:bottom w:val="single" w:color="E5E7E9" w:sz="1"/>
                    <w:right w:val="single" w:color="E5E7E9" w:sz="1"/>
                  </w:tcBorders>
                  <w:shd w:fill="FDEBD0"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Implement data quality metrics dashboard</w:t>
                  </w:r>
                </w:p>
                <w:p>
                  <w:pPr>
                    <w:spacing w:before="0" w:after="30"/>
                  </w:pPr>
                  <w:r>
                    <w:rPr>
                      <w:rFonts w:ascii="Georgia" w:cs="Georgia" w:eastAsia="Georgia" w:hAnsi="Georgia"/>
                      <w:color w:val="2C3E50"/>
                      <w:sz w:val="18"/>
                      <w:szCs w:val="18"/>
                    </w:rPr>
                    <w:t xml:space="preserve">• Establish data governance workflows</w:t>
                  </w:r>
                </w:p>
                <w:p>
                  <w:pPr>
                    <w:spacing w:before="0" w:after="30"/>
                  </w:pPr>
                  <w:r>
                    <w:rPr>
                      <w:rFonts w:ascii="Georgia" w:cs="Georgia" w:eastAsia="Georgia" w:hAnsi="Georgia"/>
                      <w:color w:val="2C3E50"/>
                      <w:sz w:val="18"/>
                      <w:szCs w:val="18"/>
                    </w:rPr>
                    <w:t xml:space="preserve">• Build first production-grade data pipeline</w:t>
                  </w:r>
                </w:p>
                <w:p>
                  <w:pPr>
                    <w:spacing w:before="0" w:after="30"/>
                  </w:pPr>
                  <w:r>
                    <w:rPr>
                      <w:rFonts w:ascii="Georgia" w:cs="Georgia" w:eastAsia="Georgia" w:hAnsi="Georgia"/>
                      <w:color w:val="2C3E50"/>
                      <w:sz w:val="18"/>
                      <w:szCs w:val="18"/>
                    </w:rPr>
                    <w:t xml:space="preserve">• Conduct AI-specific bias assessment for priority use case</w:t>
                  </w:r>
                </w:p>
              </w:tc>
              <w:tc>
                <w:tcPr>
                  <w:tcW w:type="dxa" w:w="2987"/>
                  <w:tcBorders>
                    <w:top w:val="single" w:color="E5E7E9" w:sz="1"/>
                    <w:left w:val="single" w:color="E5E7E9" w:sz="1"/>
                    <w:bottom w:val="single" w:color="E5E7E9" w:sz="1"/>
                    <w:right w:val="single" w:color="E5E7E9" w:sz="1"/>
                  </w:tcBorders>
                  <w:shd w:fill="D5F5E3"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Automate data quality monitoring</w:t>
                  </w:r>
                </w:p>
                <w:p>
                  <w:pPr>
                    <w:spacing w:before="0" w:after="30"/>
                  </w:pPr>
                  <w:r>
                    <w:rPr>
                      <w:rFonts w:ascii="Georgia" w:cs="Georgia" w:eastAsia="Georgia" w:hAnsi="Georgia"/>
                      <w:color w:val="2C3E50"/>
                      <w:sz w:val="18"/>
                      <w:szCs w:val="18"/>
                    </w:rPr>
                    <w:t xml:space="preserve">• Implement record-level consent tracking</w:t>
                  </w:r>
                </w:p>
                <w:p>
                  <w:pPr>
                    <w:spacing w:before="0" w:after="30"/>
                  </w:pPr>
                  <w:r>
                    <w:rPr>
                      <w:rFonts w:ascii="Georgia" w:cs="Georgia" w:eastAsia="Georgia" w:hAnsi="Georgia"/>
                      <w:color w:val="2C3E50"/>
                      <w:sz w:val="18"/>
                      <w:szCs w:val="18"/>
                    </w:rPr>
                    <w:t xml:space="preserve">• Build data lineage across all AI systems</w:t>
                  </w:r>
                </w:p>
                <w:p>
                  <w:pPr>
                    <w:spacing w:before="0" w:after="30"/>
                  </w:pPr>
                  <w:r>
                    <w:rPr>
                      <w:rFonts w:ascii="Georgia" w:cs="Georgia" w:eastAsia="Georgia" w:hAnsi="Georgia"/>
                      <w:color w:val="2C3E50"/>
                      <w:sz w:val="18"/>
                      <w:szCs w:val="18"/>
                    </w:rPr>
                    <w:t xml:space="preserve">• Extend AI-specific risk assessment to all data sources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4212"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3  —  INFRASTRUCTURE</w:t>
            </w:r>
          </w:p>
          <w:p>
            <w:pPr>
              <w:spacing w:before="0" w:after="0"/>
            </w:pPr>
            <w:r>
              <w:rPr>
                <w:rFonts w:ascii="Georgia" w:cs="Georgia" w:eastAsia="Georgia" w:hAnsi="Georgia"/>
                <w:i/>
                <w:iCs/>
                <w:color w:val="FFFFFF"/>
                <w:sz w:val="20"/>
                <w:szCs w:val="20"/>
              </w:rPr>
              <w:t xml:space="preserve">Can your systems support AI at production scale, speed, and reliability?</w:t>
            </w:r>
          </w:p>
        </w:tc>
      </w:tr>
    </w:tbl>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40"/>
            </w:pPr>
            <w:r>
              <w:rPr>
                <w:rFonts w:ascii="Georgia" w:cs="Georgia" w:eastAsia="Georgia" w:hAnsi="Georgia"/>
                <w:b/>
                <w:bCs/>
                <w:color w:val="C0392B"/>
                <w:sz w:val="20"/>
                <w:szCs w:val="20"/>
              </w:rPr>
              <w:t xml:space="preserve">Nascent</w:t>
            </w:r>
          </w:p>
          <w:p>
            <w:pPr>
              <w:spacing w:before="0" w:after="0"/>
            </w:pPr>
            <w:r>
              <w:rPr>
                <w:rFonts w:ascii="Georgia" w:cs="Georgia" w:eastAsia="Georgia" w:hAnsi="Georgia"/>
                <w:color w:val="566573"/>
                <w:sz w:val="18"/>
                <w:szCs w:val="18"/>
              </w:rPr>
              <w:t xml:space="preserve">0 – 10</w:t>
            </w:r>
          </w:p>
        </w:tc>
        <w:tc>
          <w:tcPr>
            <w:tcW w:type="dxa" w:w="234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40"/>
            </w:pPr>
            <w:r>
              <w:rPr>
                <w:rFonts w:ascii="Georgia" w:cs="Georgia" w:eastAsia="Georgia" w:hAnsi="Georgia"/>
                <w:b/>
                <w:bCs/>
                <w:color w:val="D68910"/>
                <w:sz w:val="20"/>
                <w:szCs w:val="20"/>
              </w:rPr>
              <w:t xml:space="preserve">Emerging</w:t>
            </w:r>
          </w:p>
          <w:p>
            <w:pPr>
              <w:spacing w:before="0" w:after="0"/>
            </w:pPr>
            <w:r>
              <w:rPr>
                <w:rFonts w:ascii="Georgia" w:cs="Georgia" w:eastAsia="Georgia" w:hAnsi="Georgia"/>
                <w:color w:val="566573"/>
                <w:sz w:val="18"/>
                <w:szCs w:val="18"/>
              </w:rPr>
              <w:t xml:space="preserve">11 – 17</w:t>
            </w:r>
          </w:p>
        </w:tc>
        <w:tc>
          <w:tcPr>
            <w:tcW w:type="dxa" w:w="234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40"/>
            </w:pPr>
            <w:r>
              <w:rPr>
                <w:rFonts w:ascii="Georgia" w:cs="Georgia" w:eastAsia="Georgia" w:hAnsi="Georgia"/>
                <w:b/>
                <w:bCs/>
                <w:color w:val="1A5276"/>
                <w:sz w:val="20"/>
                <w:szCs w:val="20"/>
              </w:rPr>
              <w:t xml:space="preserve">Operational</w:t>
            </w:r>
          </w:p>
          <w:p>
            <w:pPr>
              <w:spacing w:before="0" w:after="0"/>
            </w:pPr>
            <w:r>
              <w:rPr>
                <w:rFonts w:ascii="Georgia" w:cs="Georgia" w:eastAsia="Georgia" w:hAnsi="Georgia"/>
                <w:color w:val="566573"/>
                <w:sz w:val="18"/>
                <w:szCs w:val="18"/>
              </w:rPr>
              <w:t xml:space="preserve">18 – 22</w:t>
            </w:r>
          </w:p>
        </w:tc>
        <w:tc>
          <w:tcPr>
            <w:tcW w:type="dxa" w:w="234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40"/>
            </w:pPr>
            <w:r>
              <w:rPr>
                <w:rFonts w:ascii="Georgia" w:cs="Georgia" w:eastAsia="Georgia" w:hAnsi="Georgia"/>
                <w:b/>
                <w:bCs/>
                <w:color w:val="1E8449"/>
                <w:sz w:val="20"/>
                <w:szCs w:val="20"/>
              </w:rPr>
              <w:t xml:space="preserve">Leading</w:t>
            </w:r>
          </w:p>
          <w:p>
            <w:pPr>
              <w:spacing w:before="0" w:after="0"/>
            </w:pPr>
            <w:r>
              <w:rPr>
                <w:rFonts w:ascii="Georgia" w:cs="Georgia" w:eastAsia="Georgia" w:hAnsi="Georgia"/>
                <w:color w:val="566573"/>
                <w:sz w:val="18"/>
                <w:szCs w:val="18"/>
              </w:rPr>
              <w:t xml:space="preserve">23 – 25</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have access to compute — cloud, on-premise, or hybrid — for AI training and production inference?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Infrastructure constraints surface late and are expensive to fix after architecture decisions are locked. Training and inference have very different compute profiles. Both must be planned and costed before project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dedicated AI compute. Workloads compete with production systems. Compute requirements for intended AI systems have not been assessed.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cloud compute used for experiments but production-grade infrastructure with appropriate scaling, availability, and cost management has not been provisioned.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Compute infrastructure planned and provisioned for training and inference. Clear understanding of requirements. Cloud spend governance controls in place for AI workloads.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Can AI systems integrate with core enterprise systems — CRM, ERP, databases — without prohibitive engineering?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An AI model that cannot connect to the systems it reads from and writes to is a research project. Enterprise integration is consistently underestimated and frequently causes 6-month delays or project abandonment.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Legacy systems with limited API access. Integration requires significant custom engineering or vendor negotiation for every connection.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Key systems have APIs but integration is complex, inconsistently documented, requiring significant engineering per connection.</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Well-documented integration architecture with APIs or data feeds for all material enterprise systems. API gateway or integration platform provides standardised access.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an MLOps capability — tools and processes for deploying, monitoring, and updating AI models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MLOps is to AI what DevOps is to software. Without it, models cannot be reliably deployed, updated without manual intervention, or monitored for degradation. The operational phase is where AI value is either sustained or lost.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MLOps capability. Deployment is manual and ad-hoc. No model registry, no automated pipeline, no production monitoring.</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MLOps tooling exists — perhaps a model registry or basic CI/CD — but not comprehensive. Production monitoring limited and retraining is manual.</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Mature MLOps: model versioning, automated deployment pipelines, production monitoring with alerting, drift detection, retraining pipelines, and rollback capability. Used consistently across projects.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Q14</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Are security controls sufficient for AI-specific risks — prompt injection, model inversion, adversarial examples?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creates attack surfaces that traditional security frameworks are not designed to address. Prompt injection, model extraction, and adversarial inputs are AI-specific risks. The EU AI Act's security requirements for high-risk systems are more demanding than general cybersecurity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Security controls have not been reviewed for AI-specific risks. Standard application security framework applied to AI without assessing adequacy.</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AI security considerations raised and partially addressed. Prompt injection risks understood but controls are not systematic.</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security framework in place covering: prompt injection prevention, model access controls, inference-time data protection, adversarial input detection, and output monitoring for security anomalies.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Q15</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Can your infrastructure scale automatically to meet peak AI workload demand — and scale down for cost efficiency?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workloads are spiky — inference demand may be 100x higher at peak than average. Fixed-capacity infrastructure will either fail under load or be over-provisioned at enormous cost. Auto-scaling is a production prerequisite.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Largely fixed-capacity infrastructure. Scaling requires manual provisioning taking days to weeks. No auto-scaling, no AI cost management process.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auto-scaling in cloud environments but not consistently applied. Cost monitoring exists but not connected to AI-specific optimisation.</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Auto-scaling infrastructure used for AI workloads with defined scaling policies based on measured demand. Automated cost management with spend alerts, rightsizing, and regular optimisation reviews.</w:t>
                  </w:r>
                </w:p>
              </w:tc>
            </w:tr>
          </w:tbl>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6"/>
              <w:left w:val="single" w:color="E5E7E9" w:sz="1"/>
              <w:bottom w:val="single" w:color="E5E7E9" w:sz="1"/>
              <w:right w:val="single" w:color="E5E7E9" w:sz="1"/>
            </w:tcBorders>
            <w:shd w:fill="F4F6F7" w:val="clear"/>
            <w:tcMar>
              <w:top w:type="dxa" w:w="160"/>
              <w:left w:type="dxa" w:w="200"/>
              <w:bottom w:type="dxa" w:w="160"/>
              <w:right w:type="dxa" w:w="200"/>
            </w:tcMar>
          </w:tcPr>
          <w:p>
            <w:pPr>
              <w:spacing w:before="0" w:after="100"/>
            </w:pPr>
            <w:r>
              <w:rPr>
                <w:rFonts w:ascii="Georgia" w:cs="Georgia" w:eastAsia="Georgia" w:hAnsi="Georgia"/>
                <w:b/>
                <w:bCs/>
                <w:color w:val="784212"/>
                <w:sz w:val="21"/>
                <w:szCs w:val="21"/>
              </w:rPr>
              <w:t xml:space="preserve">What to do next — Infrastructure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7"/>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8"/>
                      <w:szCs w:val="18"/>
                    </w:rPr>
                    <w:t xml:space="preserve">⚠  Score 0–10  (Nascent)</w:t>
                  </w:r>
                </w:p>
              </w:tc>
              <w:tc>
                <w:tcPr>
                  <w:tcW w:type="dxa" w:w="2987"/>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8"/>
                      <w:szCs w:val="18"/>
                    </w:rPr>
                    <w:t xml:space="preserve">◑  Score 11–17  (Emerging)</w:t>
                  </w:r>
                </w:p>
              </w:tc>
              <w:tc>
                <w:tcPr>
                  <w:tcW w:type="dxa" w:w="2987"/>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8"/>
                      <w:szCs w:val="18"/>
                    </w:rPr>
                    <w:t xml:space="preserve">✓  Score 18–25  (Operational+)</w:t>
                  </w:r>
                </w:p>
              </w:tc>
            </w:tr>
            <w:tr>
              <w:tc>
                <w:tcPr>
                  <w:tcW w:type="dxa" w:w="2987"/>
                  <w:tcBorders>
                    <w:top w:val="single" w:color="E5E7E9" w:sz="1"/>
                    <w:left w:val="single" w:color="E5E7E9" w:sz="1"/>
                    <w:bottom w:val="single" w:color="E5E7E9" w:sz="1"/>
                    <w:right w:val="single" w:color="E5E7E9" w:sz="1"/>
                  </w:tcBorders>
                  <w:shd w:fill="FADBD8"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Conduct infrastructure gap assessment for AI workloads</w:t>
                  </w:r>
                </w:p>
                <w:p>
                  <w:pPr>
                    <w:spacing w:before="0" w:after="30"/>
                  </w:pPr>
                  <w:r>
                    <w:rPr>
                      <w:rFonts w:ascii="Georgia" w:cs="Georgia" w:eastAsia="Georgia" w:hAnsi="Georgia"/>
                      <w:color w:val="2C3E50"/>
                      <w:sz w:val="18"/>
                      <w:szCs w:val="18"/>
                    </w:rPr>
                    <w:t xml:space="preserve">• Provision cloud compute environment for first AI project</w:t>
                  </w:r>
                </w:p>
                <w:p>
                  <w:pPr>
                    <w:spacing w:before="0" w:after="30"/>
                  </w:pPr>
                  <w:r>
                    <w:rPr>
                      <w:rFonts w:ascii="Georgia" w:cs="Georgia" w:eastAsia="Georgia" w:hAnsi="Georgia"/>
                      <w:color w:val="2C3E50"/>
                      <w:sz w:val="18"/>
                      <w:szCs w:val="18"/>
                    </w:rPr>
                    <w:t xml:space="preserve">• Select and deploy a basic MLOps toolset</w:t>
                  </w:r>
                </w:p>
                <w:p>
                  <w:pPr>
                    <w:spacing w:before="0" w:after="30"/>
                  </w:pPr>
                  <w:r>
                    <w:rPr>
                      <w:rFonts w:ascii="Georgia" w:cs="Georgia" w:eastAsia="Georgia" w:hAnsi="Georgia"/>
                      <w:color w:val="2C3E50"/>
                      <w:sz w:val="18"/>
                      <w:szCs w:val="18"/>
                    </w:rPr>
                    <w:t xml:space="preserve">• Review enterprise API availability for priority AI use cases</w:t>
                  </w:r>
                </w:p>
              </w:tc>
              <w:tc>
                <w:tcPr>
                  <w:tcW w:type="dxa" w:w="2987"/>
                  <w:tcBorders>
                    <w:top w:val="single" w:color="E5E7E9" w:sz="1"/>
                    <w:left w:val="single" w:color="E5E7E9" w:sz="1"/>
                    <w:bottom w:val="single" w:color="E5E7E9" w:sz="1"/>
                    <w:right w:val="single" w:color="E5E7E9" w:sz="1"/>
                  </w:tcBorders>
                  <w:shd w:fill="FDEBD0"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Build production-grade data pipeline for first use case</w:t>
                  </w:r>
                </w:p>
                <w:p>
                  <w:pPr>
                    <w:spacing w:before="0" w:after="30"/>
                  </w:pPr>
                  <w:r>
                    <w:rPr>
                      <w:rFonts w:ascii="Georgia" w:cs="Georgia" w:eastAsia="Georgia" w:hAnsi="Georgia"/>
                      <w:color w:val="2C3E50"/>
                      <w:sz w:val="18"/>
                      <w:szCs w:val="18"/>
                    </w:rPr>
                    <w:t xml:space="preserve">• Implement model registry and deployment automation</w:t>
                  </w:r>
                </w:p>
                <w:p>
                  <w:pPr>
                    <w:spacing w:before="0" w:after="30"/>
                  </w:pPr>
                  <w:r>
                    <w:rPr>
                      <w:rFonts w:ascii="Georgia" w:cs="Georgia" w:eastAsia="Georgia" w:hAnsi="Georgia"/>
                      <w:color w:val="2C3E50"/>
                      <w:sz w:val="18"/>
                      <w:szCs w:val="18"/>
                    </w:rPr>
                    <w:t xml:space="preserve">• Conduct AI security review against OWASP LLM Top 10</w:t>
                  </w:r>
                </w:p>
                <w:p>
                  <w:pPr>
                    <w:spacing w:before="0" w:after="30"/>
                  </w:pPr>
                  <w:r>
                    <w:rPr>
                      <w:rFonts w:ascii="Georgia" w:cs="Georgia" w:eastAsia="Georgia" w:hAnsi="Georgia"/>
                      <w:color w:val="2C3E50"/>
                      <w:sz w:val="18"/>
                      <w:szCs w:val="18"/>
                    </w:rPr>
                    <w:t xml:space="preserve">• Set up auto-scaling for AI inference workloads</w:t>
                  </w:r>
                </w:p>
              </w:tc>
              <w:tc>
                <w:tcPr>
                  <w:tcW w:type="dxa" w:w="2987"/>
                  <w:tcBorders>
                    <w:top w:val="single" w:color="E5E7E9" w:sz="1"/>
                    <w:left w:val="single" w:color="E5E7E9" w:sz="1"/>
                    <w:bottom w:val="single" w:color="E5E7E9" w:sz="1"/>
                    <w:right w:val="single" w:color="E5E7E9" w:sz="1"/>
                  </w:tcBorders>
                  <w:shd w:fill="D5F5E3"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Implement full MLOps platform across all AI projects</w:t>
                  </w:r>
                </w:p>
                <w:p>
                  <w:pPr>
                    <w:spacing w:before="0" w:after="30"/>
                  </w:pPr>
                  <w:r>
                    <w:rPr>
                      <w:rFonts w:ascii="Georgia" w:cs="Georgia" w:eastAsia="Georgia" w:hAnsi="Georgia"/>
                      <w:color w:val="2C3E50"/>
                      <w:sz w:val="18"/>
                      <w:szCs w:val="18"/>
                    </w:rPr>
                    <w:t xml:space="preserve">• Build self-healing infrastructure with automated anomaly response</w:t>
                  </w:r>
                </w:p>
                <w:p>
                  <w:pPr>
                    <w:spacing w:before="0" w:after="30"/>
                  </w:pPr>
                  <w:r>
                    <w:rPr>
                      <w:rFonts w:ascii="Georgia" w:cs="Georgia" w:eastAsia="Georgia" w:hAnsi="Georgia"/>
                      <w:color w:val="2C3E50"/>
                      <w:sz w:val="18"/>
                      <w:szCs w:val="18"/>
                    </w:rPr>
                    <w:t xml:space="preserve">• Complete AI security certification (ISO 27001 AI extension)</w:t>
                  </w:r>
                </w:p>
                <w:p>
                  <w:pPr>
                    <w:spacing w:before="0" w:after="30"/>
                  </w:pPr>
                  <w:r>
                    <w:rPr>
                      <w:rFonts w:ascii="Georgia" w:cs="Georgia" w:eastAsia="Georgia" w:hAnsi="Georgia"/>
                      <w:color w:val="2C3E50"/>
                      <w:sz w:val="18"/>
                      <w:szCs w:val="18"/>
                    </w:rPr>
                    <w:t xml:space="preserve">• Implement FinOps for AI workloads with automated optimisation</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4  —  TALENT</w:t>
            </w:r>
          </w:p>
          <w:p>
            <w:pPr>
              <w:spacing w:before="0" w:after="0"/>
            </w:pPr>
            <w:r>
              <w:rPr>
                <w:rFonts w:ascii="Georgia" w:cs="Georgia" w:eastAsia="Georgia" w:hAnsi="Georgia"/>
                <w:i/>
                <w:iCs/>
                <w:color w:val="FFFFFF"/>
                <w:sz w:val="20"/>
                <w:szCs w:val="20"/>
              </w:rPr>
              <w:t xml:space="preserve">Do you have the skills to build, evaluate, deploy, govern, and sustain AI?</w:t>
            </w:r>
          </w:p>
        </w:tc>
      </w:tr>
    </w:tbl>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40"/>
            </w:pPr>
            <w:r>
              <w:rPr>
                <w:rFonts w:ascii="Georgia" w:cs="Georgia" w:eastAsia="Georgia" w:hAnsi="Georgia"/>
                <w:b/>
                <w:bCs/>
                <w:color w:val="C0392B"/>
                <w:sz w:val="20"/>
                <w:szCs w:val="20"/>
              </w:rPr>
              <w:t xml:space="preserve">Nascent</w:t>
            </w:r>
          </w:p>
          <w:p>
            <w:pPr>
              <w:spacing w:before="0" w:after="0"/>
            </w:pPr>
            <w:r>
              <w:rPr>
                <w:rFonts w:ascii="Georgia" w:cs="Georgia" w:eastAsia="Georgia" w:hAnsi="Georgia"/>
                <w:color w:val="566573"/>
                <w:sz w:val="18"/>
                <w:szCs w:val="18"/>
              </w:rPr>
              <w:t xml:space="preserve">0 – 10</w:t>
            </w:r>
          </w:p>
        </w:tc>
        <w:tc>
          <w:tcPr>
            <w:tcW w:type="dxa" w:w="234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40"/>
            </w:pPr>
            <w:r>
              <w:rPr>
                <w:rFonts w:ascii="Georgia" w:cs="Georgia" w:eastAsia="Georgia" w:hAnsi="Georgia"/>
                <w:b/>
                <w:bCs/>
                <w:color w:val="D68910"/>
                <w:sz w:val="20"/>
                <w:szCs w:val="20"/>
              </w:rPr>
              <w:t xml:space="preserve">Emerging</w:t>
            </w:r>
          </w:p>
          <w:p>
            <w:pPr>
              <w:spacing w:before="0" w:after="0"/>
            </w:pPr>
            <w:r>
              <w:rPr>
                <w:rFonts w:ascii="Georgia" w:cs="Georgia" w:eastAsia="Georgia" w:hAnsi="Georgia"/>
                <w:color w:val="566573"/>
                <w:sz w:val="18"/>
                <w:szCs w:val="18"/>
              </w:rPr>
              <w:t xml:space="preserve">11 – 17</w:t>
            </w:r>
          </w:p>
        </w:tc>
        <w:tc>
          <w:tcPr>
            <w:tcW w:type="dxa" w:w="234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40"/>
            </w:pPr>
            <w:r>
              <w:rPr>
                <w:rFonts w:ascii="Georgia" w:cs="Georgia" w:eastAsia="Georgia" w:hAnsi="Georgia"/>
                <w:b/>
                <w:bCs/>
                <w:color w:val="1A5276"/>
                <w:sz w:val="20"/>
                <w:szCs w:val="20"/>
              </w:rPr>
              <w:t xml:space="preserve">Operational</w:t>
            </w:r>
          </w:p>
          <w:p>
            <w:pPr>
              <w:spacing w:before="0" w:after="0"/>
            </w:pPr>
            <w:r>
              <w:rPr>
                <w:rFonts w:ascii="Georgia" w:cs="Georgia" w:eastAsia="Georgia" w:hAnsi="Georgia"/>
                <w:color w:val="566573"/>
                <w:sz w:val="18"/>
                <w:szCs w:val="18"/>
              </w:rPr>
              <w:t xml:space="preserve">18 – 22</w:t>
            </w:r>
          </w:p>
        </w:tc>
        <w:tc>
          <w:tcPr>
            <w:tcW w:type="dxa" w:w="234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40"/>
            </w:pPr>
            <w:r>
              <w:rPr>
                <w:rFonts w:ascii="Georgia" w:cs="Georgia" w:eastAsia="Georgia" w:hAnsi="Georgia"/>
                <w:b/>
                <w:bCs/>
                <w:color w:val="1E8449"/>
                <w:sz w:val="20"/>
                <w:szCs w:val="20"/>
              </w:rPr>
              <w:t xml:space="preserve">Leading</w:t>
            </w:r>
          </w:p>
          <w:p>
            <w:pPr>
              <w:spacing w:before="0" w:after="0"/>
            </w:pPr>
            <w:r>
              <w:rPr>
                <w:rFonts w:ascii="Georgia" w:cs="Georgia" w:eastAsia="Georgia" w:hAnsi="Georgia"/>
                <w:color w:val="566573"/>
                <w:sz w:val="18"/>
                <w:szCs w:val="18"/>
              </w:rPr>
              <w:t xml:space="preserve">23 – 25</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Q16</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Are core AI technical roles covered — ML engineers, data engineers, and MLOps engineers?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Each role is distinct and cannot be substituted. ML engineers build models. Data engineers build pipelines. MLOps engineers run production. All three are required for production AI. Hiring timelines of 3–6 months must be factored into project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Core AI technical roles do not exist. Projects planned assuming talent will be hired or contracted as needed, without accounting for time or cost.</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AI technical talent exists — perhaps a data science team — but ML engineering, data engineering, and MLOps are not all covered by dedicated roles.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Complete AI technical capability with dedicated roles, defined accountabilities, career paths, and a talent acquisition plan with realistic timelines covering all gaps.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Q17</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Are domain experts accessible and embedded in AI projects to validate outputs and guide model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models learn statistical patterns — but whether those patterns correspond to business correctness requires domain expertise that ML engineers do not possess. Domain experts provide ground truth, identify edge cases, and catch errors invisible to technical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Domain expertise exists in business units but is not accessible. Subject matter experts are too busy or there is no process for engagement.</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Domain experts occasionally consulted at key milestones but not embedded in development. Edge case identification and label validation are incomplete.</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Domain experts formally embedded in project teams with defined time commitments. They provide label validation, edge case identification, output review, and acceptance testing.</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Q18</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leadership team have sufficient AI literacy to make informed investment and governance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governance failures almost always trace to AI illiteracy at executive level — leaders who approve proposals without understanding what they approve, or who cannot ask the right questions. PwC 2025: leaders who actively engage with AI governance are 1.5–2x more effective at operationalising responsible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Leadership has superficial AI awareness from news and vendor presentations. AI proposals approved or rejected based on intuition rather than structured evaluation.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leaders have developed AI literacy through workshops but it is uneven across the team. AI literacy is not a leadership development priority.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Structured AI literacy programme completed by the full leadership team. Leaders understand capabilities, limitations, governance concepts, and what questions to ask at each lifecycle gate. Ongoing learning commitment.</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Q19</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have AI governance expertise — data protection officers, legal counsel, and ethics capability with AI specialism?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General legal and compliance teams are not equipped to govern AI without upskilling or augmentation. The EU AI Act requires responsible persons for high-risk systems. GDPR and DPDP require AI-specific DPIAs. Ethics review requires bias and impact assessment expertise.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dedicated AI governance expertise. Legal and compliance review AI using general frameworks not designed for AI-specific risks.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DPO exists and is aware of AI obligations but lacks deep AI governance expertise. Legal review is inconsistent and does not cover all governance dimensions.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Dedicated AI governance capability: DPO with AI expertise, AI-specialist legal counsel, and a structured ethics review process integrated into project delivery.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Q20</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plan to build AI capability continuously — not treat it as a one-time hiring or training 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capability built today will be partially obsolete within 12 months. Models, tools, regulations, and practices evolve faster than any other technology domain. Sustainable AI leadership requires ongoing investment in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capability building is reactive. Skills acquired when a project requires them and not maintained after. No ongoing programme, no knowledge sharing, no budget.</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ongoing capability building occurs — annual training budgets or conference attendance — but not systematic and not connected to the AI roadmap.</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Structured AI capability development programme: role-specific learning paths, annual training budgets, internal knowledge sharing, external communities of practice, skills tracking against roadmap needs.</w:t>
                  </w:r>
                </w:p>
              </w:tc>
            </w:tr>
          </w:tbl>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6"/>
              <w:left w:val="single" w:color="E5E7E9" w:sz="1"/>
              <w:bottom w:val="single" w:color="E5E7E9" w:sz="1"/>
              <w:right w:val="single" w:color="E5E7E9" w:sz="1"/>
            </w:tcBorders>
            <w:shd w:fill="F4F6F7" w:val="clear"/>
            <w:tcMar>
              <w:top w:type="dxa" w:w="160"/>
              <w:left w:type="dxa" w:w="200"/>
              <w:bottom w:type="dxa" w:w="160"/>
              <w:right w:type="dxa" w:w="200"/>
            </w:tcMar>
          </w:tcPr>
          <w:p>
            <w:pPr>
              <w:spacing w:before="0" w:after="100"/>
            </w:pPr>
            <w:r>
              <w:rPr>
                <w:rFonts w:ascii="Georgia" w:cs="Georgia" w:eastAsia="Georgia" w:hAnsi="Georgia"/>
                <w:b/>
                <w:bCs/>
                <w:color w:val="6C3483"/>
                <w:sz w:val="21"/>
                <w:szCs w:val="21"/>
              </w:rPr>
              <w:t xml:space="preserve">What to do next — Talent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7"/>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8"/>
                      <w:szCs w:val="18"/>
                    </w:rPr>
                    <w:t xml:space="preserve">⚠  Score 0–10  (Nascent)</w:t>
                  </w:r>
                </w:p>
              </w:tc>
              <w:tc>
                <w:tcPr>
                  <w:tcW w:type="dxa" w:w="2987"/>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8"/>
                      <w:szCs w:val="18"/>
                    </w:rPr>
                    <w:t xml:space="preserve">◑  Score 11–17  (Emerging)</w:t>
                  </w:r>
                </w:p>
              </w:tc>
              <w:tc>
                <w:tcPr>
                  <w:tcW w:type="dxa" w:w="2987"/>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8"/>
                      <w:szCs w:val="18"/>
                    </w:rPr>
                    <w:t xml:space="preserve">✓  Score 18–25  (Operational+)</w:t>
                  </w:r>
                </w:p>
              </w:tc>
            </w:tr>
            <w:tr>
              <w:tc>
                <w:tcPr>
                  <w:tcW w:type="dxa" w:w="2987"/>
                  <w:tcBorders>
                    <w:top w:val="single" w:color="E5E7E9" w:sz="1"/>
                    <w:left w:val="single" w:color="E5E7E9" w:sz="1"/>
                    <w:bottom w:val="single" w:color="E5E7E9" w:sz="1"/>
                    <w:right w:val="single" w:color="E5E7E9" w:sz="1"/>
                  </w:tcBorders>
                  <w:shd w:fill="FADBD8"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Map required roles against current capability</w:t>
                  </w:r>
                </w:p>
                <w:p>
                  <w:pPr>
                    <w:spacing w:before="0" w:after="30"/>
                  </w:pPr>
                  <w:r>
                    <w:rPr>
                      <w:rFonts w:ascii="Georgia" w:cs="Georgia" w:eastAsia="Georgia" w:hAnsi="Georgia"/>
                      <w:color w:val="2C3E50"/>
                      <w:sz w:val="18"/>
                      <w:szCs w:val="18"/>
                    </w:rPr>
                    <w:t xml:space="preserve">• Start hiring process for highest-priority gap (allow 4–6 months)</w:t>
                  </w:r>
                </w:p>
                <w:p>
                  <w:pPr>
                    <w:spacing w:before="0" w:after="30"/>
                  </w:pPr>
                  <w:r>
                    <w:rPr>
                      <w:rFonts w:ascii="Georgia" w:cs="Georgia" w:eastAsia="Georgia" w:hAnsi="Georgia"/>
                      <w:color w:val="2C3E50"/>
                      <w:sz w:val="18"/>
                      <w:szCs w:val="18"/>
                    </w:rPr>
                    <w:t xml:space="preserve">• Identify domain experts for priority use case</w:t>
                  </w:r>
                </w:p>
                <w:p>
                  <w:pPr>
                    <w:spacing w:before="0" w:after="30"/>
                  </w:pPr>
                  <w:r>
                    <w:rPr>
                      <w:rFonts w:ascii="Georgia" w:cs="Georgia" w:eastAsia="Georgia" w:hAnsi="Georgia"/>
                      <w:color w:val="2C3E50"/>
                      <w:sz w:val="18"/>
                      <w:szCs w:val="18"/>
                    </w:rPr>
                    <w:t xml:space="preserve">• Run executive AI literacy workshop</w:t>
                  </w:r>
                </w:p>
              </w:tc>
              <w:tc>
                <w:tcPr>
                  <w:tcW w:type="dxa" w:w="2987"/>
                  <w:tcBorders>
                    <w:top w:val="single" w:color="E5E7E9" w:sz="1"/>
                    <w:left w:val="single" w:color="E5E7E9" w:sz="1"/>
                    <w:bottom w:val="single" w:color="E5E7E9" w:sz="1"/>
                    <w:right w:val="single" w:color="E5E7E9" w:sz="1"/>
                  </w:tcBorders>
                  <w:shd w:fill="FDEBD0"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Complete core technical team (ML, data, MLOps)</w:t>
                  </w:r>
                </w:p>
                <w:p>
                  <w:pPr>
                    <w:spacing w:before="0" w:after="30"/>
                  </w:pPr>
                  <w:r>
                    <w:rPr>
                      <w:rFonts w:ascii="Georgia" w:cs="Georgia" w:eastAsia="Georgia" w:hAnsi="Georgia"/>
                      <w:color w:val="2C3E50"/>
                      <w:sz w:val="18"/>
                      <w:szCs w:val="18"/>
                    </w:rPr>
                    <w:t xml:space="preserve">• Embed domain experts in first AI project team</w:t>
                  </w:r>
                </w:p>
                <w:p>
                  <w:pPr>
                    <w:spacing w:before="0" w:after="30"/>
                  </w:pPr>
                  <w:r>
                    <w:rPr>
                      <w:rFonts w:ascii="Georgia" w:cs="Georgia" w:eastAsia="Georgia" w:hAnsi="Georgia"/>
                      <w:color w:val="2C3E50"/>
                      <w:sz w:val="18"/>
                      <w:szCs w:val="18"/>
                    </w:rPr>
                    <w:t xml:space="preserve">• Engage AI governance specialist (legal or DPO)</w:t>
                  </w:r>
                </w:p>
                <w:p>
                  <w:pPr>
                    <w:spacing w:before="0" w:after="30"/>
                  </w:pPr>
                  <w:r>
                    <w:rPr>
                      <w:rFonts w:ascii="Georgia" w:cs="Georgia" w:eastAsia="Georgia" w:hAnsi="Georgia"/>
                      <w:color w:val="2C3E50"/>
                      <w:sz w:val="18"/>
                      <w:szCs w:val="18"/>
                    </w:rPr>
                    <w:t xml:space="preserve">• Establish internal AI knowledge sharing forum</w:t>
                  </w:r>
                </w:p>
              </w:tc>
              <w:tc>
                <w:tcPr>
                  <w:tcW w:type="dxa" w:w="2987"/>
                  <w:tcBorders>
                    <w:top w:val="single" w:color="E5E7E9" w:sz="1"/>
                    <w:left w:val="single" w:color="E5E7E9" w:sz="1"/>
                    <w:bottom w:val="single" w:color="E5E7E9" w:sz="1"/>
                    <w:right w:val="single" w:color="E5E7E9" w:sz="1"/>
                  </w:tcBorders>
                  <w:shd w:fill="D5F5E3"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Build AI capability development programme</w:t>
                  </w:r>
                </w:p>
                <w:p>
                  <w:pPr>
                    <w:spacing w:before="0" w:after="30"/>
                  </w:pPr>
                  <w:r>
                    <w:rPr>
                      <w:rFonts w:ascii="Georgia" w:cs="Georgia" w:eastAsia="Georgia" w:hAnsi="Georgia"/>
                      <w:color w:val="2C3E50"/>
                      <w:sz w:val="18"/>
                      <w:szCs w:val="18"/>
                    </w:rPr>
                    <w:t xml:space="preserve">• Create AI career pathways and progression framework</w:t>
                  </w:r>
                </w:p>
                <w:p>
                  <w:pPr>
                    <w:spacing w:before="0" w:after="30"/>
                  </w:pPr>
                  <w:r>
                    <w:rPr>
                      <w:rFonts w:ascii="Georgia" w:cs="Georgia" w:eastAsia="Georgia" w:hAnsi="Georgia"/>
                      <w:color w:val="2C3E50"/>
                      <w:sz w:val="18"/>
                      <w:szCs w:val="18"/>
                    </w:rPr>
                    <w:t xml:space="preserve">• Establish AI Centre of Excellence</w:t>
                  </w:r>
                </w:p>
                <w:p>
                  <w:pPr>
                    <w:spacing w:before="0" w:after="30"/>
                  </w:pPr>
                  <w:r>
                    <w:rPr>
                      <w:rFonts w:ascii="Georgia" w:cs="Georgia" w:eastAsia="Georgia" w:hAnsi="Georgia"/>
                      <w:color w:val="2C3E50"/>
                      <w:sz w:val="18"/>
                      <w:szCs w:val="18"/>
                    </w:rPr>
                    <w:t xml:space="preserve">• Publish AI talent strategy externally to attract talent</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5  —  GOVERNANCE</w:t>
            </w:r>
          </w:p>
          <w:p>
            <w:pPr>
              <w:spacing w:before="0" w:after="0"/>
            </w:pPr>
            <w:r>
              <w:rPr>
                <w:rFonts w:ascii="Georgia" w:cs="Georgia" w:eastAsia="Georgia" w:hAnsi="Georgia"/>
                <w:i/>
                <w:iCs/>
                <w:color w:val="FFFFFF"/>
                <w:sz w:val="20"/>
                <w:szCs w:val="20"/>
              </w:rPr>
              <w:t xml:space="preserve">Can you govern AI responsibly and meet regulatory obligations?</w:t>
            </w:r>
          </w:p>
        </w:tc>
      </w:tr>
    </w:tbl>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40"/>
            </w:pPr>
            <w:r>
              <w:rPr>
                <w:rFonts w:ascii="Georgia" w:cs="Georgia" w:eastAsia="Georgia" w:hAnsi="Georgia"/>
                <w:b/>
                <w:bCs/>
                <w:color w:val="C0392B"/>
                <w:sz w:val="20"/>
                <w:szCs w:val="20"/>
              </w:rPr>
              <w:t xml:space="preserve">Nascent</w:t>
            </w:r>
          </w:p>
          <w:p>
            <w:pPr>
              <w:spacing w:before="0" w:after="0"/>
            </w:pPr>
            <w:r>
              <w:rPr>
                <w:rFonts w:ascii="Georgia" w:cs="Georgia" w:eastAsia="Georgia" w:hAnsi="Georgia"/>
                <w:color w:val="566573"/>
                <w:sz w:val="18"/>
                <w:szCs w:val="18"/>
              </w:rPr>
              <w:t xml:space="preserve">0 – 10</w:t>
            </w:r>
          </w:p>
        </w:tc>
        <w:tc>
          <w:tcPr>
            <w:tcW w:type="dxa" w:w="234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40"/>
            </w:pPr>
            <w:r>
              <w:rPr>
                <w:rFonts w:ascii="Georgia" w:cs="Georgia" w:eastAsia="Georgia" w:hAnsi="Georgia"/>
                <w:b/>
                <w:bCs/>
                <w:color w:val="D68910"/>
                <w:sz w:val="20"/>
                <w:szCs w:val="20"/>
              </w:rPr>
              <w:t xml:space="preserve">Emerging</w:t>
            </w:r>
          </w:p>
          <w:p>
            <w:pPr>
              <w:spacing w:before="0" w:after="0"/>
            </w:pPr>
            <w:r>
              <w:rPr>
                <w:rFonts w:ascii="Georgia" w:cs="Georgia" w:eastAsia="Georgia" w:hAnsi="Georgia"/>
                <w:color w:val="566573"/>
                <w:sz w:val="18"/>
                <w:szCs w:val="18"/>
              </w:rPr>
              <w:t xml:space="preserve">11 – 17</w:t>
            </w:r>
          </w:p>
        </w:tc>
        <w:tc>
          <w:tcPr>
            <w:tcW w:type="dxa" w:w="234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40"/>
            </w:pPr>
            <w:r>
              <w:rPr>
                <w:rFonts w:ascii="Georgia" w:cs="Georgia" w:eastAsia="Georgia" w:hAnsi="Georgia"/>
                <w:b/>
                <w:bCs/>
                <w:color w:val="1A5276"/>
                <w:sz w:val="20"/>
                <w:szCs w:val="20"/>
              </w:rPr>
              <w:t xml:space="preserve">Operational</w:t>
            </w:r>
          </w:p>
          <w:p>
            <w:pPr>
              <w:spacing w:before="0" w:after="0"/>
            </w:pPr>
            <w:r>
              <w:rPr>
                <w:rFonts w:ascii="Georgia" w:cs="Georgia" w:eastAsia="Georgia" w:hAnsi="Georgia"/>
                <w:color w:val="566573"/>
                <w:sz w:val="18"/>
                <w:szCs w:val="18"/>
              </w:rPr>
              <w:t xml:space="preserve">18 – 22</w:t>
            </w:r>
          </w:p>
        </w:tc>
        <w:tc>
          <w:tcPr>
            <w:tcW w:type="dxa" w:w="234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40"/>
            </w:pPr>
            <w:r>
              <w:rPr>
                <w:rFonts w:ascii="Georgia" w:cs="Georgia" w:eastAsia="Georgia" w:hAnsi="Georgia"/>
                <w:b/>
                <w:bCs/>
                <w:color w:val="1E8449"/>
                <w:sz w:val="20"/>
                <w:szCs w:val="20"/>
              </w:rPr>
              <w:t xml:space="preserve">Leading</w:t>
            </w:r>
          </w:p>
          <w:p>
            <w:pPr>
              <w:spacing w:before="0" w:after="0"/>
            </w:pPr>
            <w:r>
              <w:rPr>
                <w:rFonts w:ascii="Georgia" w:cs="Georgia" w:eastAsia="Georgia" w:hAnsi="Georgia"/>
                <w:color w:val="566573"/>
                <w:sz w:val="18"/>
                <w:szCs w:val="18"/>
              </w:rPr>
              <w:t xml:space="preserve">23 – 25</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a comprehensive AI inventory been completed with EU AI Act risk classification for each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You cannot govern what you have not catalogued. Many organisations are surprised by how many AI systems are already in use. The EU AI Act requires documentation of all AI systems and their risk classification. Without an inventory, you do not know your exposure.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inventory exists. No systematic view of AI systems in use. Vendor-embedded AI and business unit AI projects have not been identified.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Partial inventory covering visible AI systems. Risk classification applied to some but not all. Not maintained as new systems are deployed.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Comprehensive AI inventory maintained — covering all systems including vendor-embedded AI — with risk classification under EU AI Act, DPDP, and sector regulations. Updated on deployment and reviewed quarterly.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 governance framework operationalised as technical controls — not just policy documents?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Policy documents are not governance. Real governance requires principles embedded as technical controls: automated audit logs for traceability, named system owners for responsibility, output filtering for safety guardrails. SpanForge's T.R.U.S.T. Framework is designed for this operationalisation.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Governance framework exists as policy documents but not operationalised as technical controls. Compliance is self-reported with no verification mechanism.</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principles operationalised — audit logging for some systems — but framework is not consistently applied. Gaps between policy and practice are known but not addressed.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Governance framework operationalised as technical controls across all production AI systems. Compliance verified through automated monitoring, not self-certification.</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organisation mapped its obligations under EU AI Act, GDPR, DPDP, and NIST AI RMF — with a compliance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Regulatory compliance for AI is specific and non-trivial. EU AI Act high-risk system obligations are enforceable from August 2026. GDPR Article 22 governs automated decisions. DPDP governs data processing in India. NIST AI RMF appears in enterprise procurement contracts. Not knowing your obligations is not a defence.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Regulatory compliance not formally assessed. Organisation aware of regulations in general but has not mapped specific obligations or developed a compliance plan.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High-level compliance assessment conducted but incomplete. Some systems reviewed against one framework but cross-framework mapping is not in place.</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Comprehensive AI compliance programme: all systems mapped against relevant frameworks, compliance plans with milestones and accountable owners for all high-risk systems, reviewed quarterly as regulations evolve.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Q24</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functioning AI incident response capability — covering detection, containment, investigation, and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incidents are often invisible until they have caused significant harm at scale. Standard IT incident processes are not designed for silent AI failures — drift, bias, consent violation, hallucination spike. AI-specific playbooks and proactive monitoring are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incident response. AI incidents would be handled through standard IT process not designed for AI-specific failure modes. No monitoring for silent failures.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Basic incident response exists but not comprehensive. Some monitoring in place, playbooks exist for some incident types but not the full range.</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Comprehensive AI incident response: proactive monitoring for all material failure modes, classification framework for AI incident types, defined escalation paths, named owners, regularly tested playbooks, post-incident review feeding governance improvements.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Q25</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structured AI ethics review process embedded in the project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Ethics review is not legal compliance review. Legal asks: does this meet minimum requirements? Ethics asks: is this the right thing to do? Organisations that skip ethics review discover their failures publicly, not privately.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ethics review process. AI systems reviewed for legal compliance but not ethical implications. Ethical concerns addressed informally or not at all.</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Ethics considered informally during development — team members raise concerns — but no structured methodology, no consistent process, no accountability for outcomes.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Structured AI ethics review embedded in project lifecycle with defined review points, methodology for impact assessment, accountability for implementing outcomes, and escalation for unresolved concerns.</w:t>
                  </w:r>
                </w:p>
              </w:tc>
            </w:tr>
          </w:tbl>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E5E7E9" w:sz="1"/>
              <w:bottom w:val="single" w:color="E5E7E9" w:sz="1"/>
              <w:right w:val="single" w:color="E5E7E9" w:sz="1"/>
            </w:tcBorders>
            <w:shd w:fill="F4F6F7" w:val="clear"/>
            <w:tcMar>
              <w:top w:type="dxa" w:w="160"/>
              <w:left w:type="dxa" w:w="200"/>
              <w:bottom w:type="dxa" w:w="160"/>
              <w:right w:type="dxa" w:w="200"/>
            </w:tcMar>
          </w:tcPr>
          <w:p>
            <w:pPr>
              <w:spacing w:before="0" w:after="100"/>
            </w:pPr>
            <w:r>
              <w:rPr>
                <w:rFonts w:ascii="Georgia" w:cs="Georgia" w:eastAsia="Georgia" w:hAnsi="Georgia"/>
                <w:b/>
                <w:bCs/>
                <w:color w:val="922B21"/>
                <w:sz w:val="21"/>
                <w:szCs w:val="21"/>
              </w:rPr>
              <w:t xml:space="preserve">What to do next — Governance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7"/>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8"/>
                      <w:szCs w:val="18"/>
                    </w:rPr>
                    <w:t xml:space="preserve">⚠  Score 0–10  (Nascent)</w:t>
                  </w:r>
                </w:p>
              </w:tc>
              <w:tc>
                <w:tcPr>
                  <w:tcW w:type="dxa" w:w="2987"/>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8"/>
                      <w:szCs w:val="18"/>
                    </w:rPr>
                    <w:t xml:space="preserve">◑  Score 11–17  (Emerging)</w:t>
                  </w:r>
                </w:p>
              </w:tc>
              <w:tc>
                <w:tcPr>
                  <w:tcW w:type="dxa" w:w="2987"/>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8"/>
                      <w:szCs w:val="18"/>
                    </w:rPr>
                    <w:t xml:space="preserve">✓  Score 18–25  (Operational+)</w:t>
                  </w:r>
                </w:p>
              </w:tc>
            </w:tr>
            <w:tr>
              <w:tc>
                <w:tcPr>
                  <w:tcW w:type="dxa" w:w="2987"/>
                  <w:tcBorders>
                    <w:top w:val="single" w:color="E5E7E9" w:sz="1"/>
                    <w:left w:val="single" w:color="E5E7E9" w:sz="1"/>
                    <w:bottom w:val="single" w:color="E5E7E9" w:sz="1"/>
                    <w:right w:val="single" w:color="E5E7E9" w:sz="1"/>
                  </w:tcBorders>
                  <w:shd w:fill="FADBD8"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Conduct AI inventory across all business units</w:t>
                  </w:r>
                </w:p>
                <w:p>
                  <w:pPr>
                    <w:spacing w:before="0" w:after="30"/>
                  </w:pPr>
                  <w:r>
                    <w:rPr>
                      <w:rFonts w:ascii="Georgia" w:cs="Georgia" w:eastAsia="Georgia" w:hAnsi="Georgia"/>
                      <w:color w:val="2C3E50"/>
                      <w:sz w:val="18"/>
                      <w:szCs w:val="18"/>
                    </w:rPr>
                    <w:t xml:space="preserve">• Apply EU AI Act risk classification to each system</w:t>
                  </w:r>
                </w:p>
                <w:p>
                  <w:pPr>
                    <w:spacing w:before="0" w:after="30"/>
                  </w:pPr>
                  <w:r>
                    <w:rPr>
                      <w:rFonts w:ascii="Georgia" w:cs="Georgia" w:eastAsia="Georgia" w:hAnsi="Georgia"/>
                      <w:color w:val="2C3E50"/>
                      <w:sz w:val="18"/>
                      <w:szCs w:val="18"/>
                    </w:rPr>
                    <w:t xml:space="preserve">• Appoint named owner for highest-risk AI system</w:t>
                  </w:r>
                </w:p>
                <w:p>
                  <w:pPr>
                    <w:spacing w:before="0" w:after="30"/>
                  </w:pPr>
                  <w:r>
                    <w:rPr>
                      <w:rFonts w:ascii="Georgia" w:cs="Georgia" w:eastAsia="Georgia" w:hAnsi="Georgia"/>
                      <w:color w:val="2C3E50"/>
                      <w:sz w:val="18"/>
                      <w:szCs w:val="18"/>
                    </w:rPr>
                    <w:t xml:space="preserve">• Engage DPO for AI-specific obligations review</w:t>
                  </w:r>
                </w:p>
              </w:tc>
              <w:tc>
                <w:tcPr>
                  <w:tcW w:type="dxa" w:w="2987"/>
                  <w:tcBorders>
                    <w:top w:val="single" w:color="E5E7E9" w:sz="1"/>
                    <w:left w:val="single" w:color="E5E7E9" w:sz="1"/>
                    <w:bottom w:val="single" w:color="E5E7E9" w:sz="1"/>
                    <w:right w:val="single" w:color="E5E7E9" w:sz="1"/>
                  </w:tcBorders>
                  <w:shd w:fill="FDEBD0"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Build AI incident response playbooks for top 3 failure modes</w:t>
                  </w:r>
                </w:p>
                <w:p>
                  <w:pPr>
                    <w:spacing w:before="0" w:after="30"/>
                  </w:pPr>
                  <w:r>
                    <w:rPr>
                      <w:rFonts w:ascii="Georgia" w:cs="Georgia" w:eastAsia="Georgia" w:hAnsi="Georgia"/>
                      <w:color w:val="2C3E50"/>
                      <w:sz w:val="18"/>
                      <w:szCs w:val="18"/>
                    </w:rPr>
                    <w:t xml:space="preserve">• Operationalise first T.R.U.S.T. Framework controls</w:t>
                  </w:r>
                </w:p>
                <w:p>
                  <w:pPr>
                    <w:spacing w:before="0" w:after="30"/>
                  </w:pPr>
                  <w:r>
                    <w:rPr>
                      <w:rFonts w:ascii="Georgia" w:cs="Georgia" w:eastAsia="Georgia" w:hAnsi="Georgia"/>
                      <w:color w:val="2C3E50"/>
                      <w:sz w:val="18"/>
                      <w:szCs w:val="18"/>
                    </w:rPr>
                    <w:t xml:space="preserve">• Complete EU AI Act compliance gap assessment</w:t>
                  </w:r>
                </w:p>
                <w:p>
                  <w:pPr>
                    <w:spacing w:before="0" w:after="30"/>
                  </w:pPr>
                  <w:r>
                    <w:rPr>
                      <w:rFonts w:ascii="Georgia" w:cs="Georgia" w:eastAsia="Georgia" w:hAnsi="Georgia"/>
                      <w:color w:val="2C3E50"/>
                      <w:sz w:val="18"/>
                      <w:szCs w:val="18"/>
                    </w:rPr>
                    <w:t xml:space="preserve">• Run first structured AI ethics review on priority project</w:t>
                  </w:r>
                </w:p>
              </w:tc>
              <w:tc>
                <w:tcPr>
                  <w:tcW w:type="dxa" w:w="2987"/>
                  <w:tcBorders>
                    <w:top w:val="single" w:color="E5E7E9" w:sz="1"/>
                    <w:left w:val="single" w:color="E5E7E9" w:sz="1"/>
                    <w:bottom w:val="single" w:color="E5E7E9" w:sz="1"/>
                    <w:right w:val="single" w:color="E5E7E9" w:sz="1"/>
                  </w:tcBorders>
                  <w:shd w:fill="D5F5E3"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Automate governance monitoring across all AI systems</w:t>
                  </w:r>
                </w:p>
                <w:p>
                  <w:pPr>
                    <w:spacing w:before="0" w:after="30"/>
                  </w:pPr>
                  <w:r>
                    <w:rPr>
                      <w:rFonts w:ascii="Georgia" w:cs="Georgia" w:eastAsia="Georgia" w:hAnsi="Georgia"/>
                      <w:color w:val="2C3E50"/>
                      <w:sz w:val="18"/>
                      <w:szCs w:val="18"/>
                    </w:rPr>
                    <w:t xml:space="preserve">• Publish AI transparency statements for high-risk systems</w:t>
                  </w:r>
                </w:p>
                <w:p>
                  <w:pPr>
                    <w:spacing w:before="0" w:after="30"/>
                  </w:pPr>
                  <w:r>
                    <w:rPr>
                      <w:rFonts w:ascii="Georgia" w:cs="Georgia" w:eastAsia="Georgia" w:hAnsi="Georgia"/>
                      <w:color w:val="2C3E50"/>
                      <w:sz w:val="18"/>
                      <w:szCs w:val="18"/>
                    </w:rPr>
                    <w:t xml:space="preserve">• Achieve ISO 42001 AI Management System certification</w:t>
                  </w:r>
                </w:p>
                <w:p>
                  <w:pPr>
                    <w:spacing w:before="0" w:after="30"/>
                  </w:pPr>
                  <w:r>
                    <w:rPr>
                      <w:rFonts w:ascii="Georgia" w:cs="Georgia" w:eastAsia="Georgia" w:hAnsi="Georgia"/>
                      <w:color w:val="2C3E50"/>
                      <w:sz w:val="18"/>
                      <w:szCs w:val="18"/>
                    </w:rPr>
                    <w:t xml:space="preserve">• Establish external AI ethics advisory board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6  —  CULTURE</w:t>
            </w:r>
          </w:p>
          <w:p>
            <w:pPr>
              <w:spacing w:before="0" w:after="0"/>
            </w:pPr>
            <w:r>
              <w:rPr>
                <w:rFonts w:ascii="Georgia" w:cs="Georgia" w:eastAsia="Georgia" w:hAnsi="Georgia"/>
                <w:i/>
                <w:iCs/>
                <w:color w:val="FFFFFF"/>
                <w:sz w:val="20"/>
                <w:szCs w:val="20"/>
              </w:rPr>
              <w:t xml:space="preserve">Will your organisation adopt, sustain, and improve AI — or resist and abandon it?</w:t>
            </w:r>
          </w:p>
        </w:tc>
      </w:tr>
    </w:tbl>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40"/>
            </w:pPr>
            <w:r>
              <w:rPr>
                <w:rFonts w:ascii="Georgia" w:cs="Georgia" w:eastAsia="Georgia" w:hAnsi="Georgia"/>
                <w:b/>
                <w:bCs/>
                <w:color w:val="C0392B"/>
                <w:sz w:val="20"/>
                <w:szCs w:val="20"/>
              </w:rPr>
              <w:t xml:space="preserve">Nascent</w:t>
            </w:r>
          </w:p>
          <w:p>
            <w:pPr>
              <w:spacing w:before="0" w:after="0"/>
            </w:pPr>
            <w:r>
              <w:rPr>
                <w:rFonts w:ascii="Georgia" w:cs="Georgia" w:eastAsia="Georgia" w:hAnsi="Georgia"/>
                <w:color w:val="566573"/>
                <w:sz w:val="18"/>
                <w:szCs w:val="18"/>
              </w:rPr>
              <w:t xml:space="preserve">0 – 10</w:t>
            </w:r>
          </w:p>
        </w:tc>
        <w:tc>
          <w:tcPr>
            <w:tcW w:type="dxa" w:w="234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40"/>
            </w:pPr>
            <w:r>
              <w:rPr>
                <w:rFonts w:ascii="Georgia" w:cs="Georgia" w:eastAsia="Georgia" w:hAnsi="Georgia"/>
                <w:b/>
                <w:bCs/>
                <w:color w:val="D68910"/>
                <w:sz w:val="20"/>
                <w:szCs w:val="20"/>
              </w:rPr>
              <w:t xml:space="preserve">Emerging</w:t>
            </w:r>
          </w:p>
          <w:p>
            <w:pPr>
              <w:spacing w:before="0" w:after="0"/>
            </w:pPr>
            <w:r>
              <w:rPr>
                <w:rFonts w:ascii="Georgia" w:cs="Georgia" w:eastAsia="Georgia" w:hAnsi="Georgia"/>
                <w:color w:val="566573"/>
                <w:sz w:val="18"/>
                <w:szCs w:val="18"/>
              </w:rPr>
              <w:t xml:space="preserve">11 – 17</w:t>
            </w:r>
          </w:p>
        </w:tc>
        <w:tc>
          <w:tcPr>
            <w:tcW w:type="dxa" w:w="234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40"/>
            </w:pPr>
            <w:r>
              <w:rPr>
                <w:rFonts w:ascii="Georgia" w:cs="Georgia" w:eastAsia="Georgia" w:hAnsi="Georgia"/>
                <w:b/>
                <w:bCs/>
                <w:color w:val="1A5276"/>
                <w:sz w:val="20"/>
                <w:szCs w:val="20"/>
              </w:rPr>
              <w:t xml:space="preserve">Operational</w:t>
            </w:r>
          </w:p>
          <w:p>
            <w:pPr>
              <w:spacing w:before="0" w:after="0"/>
            </w:pPr>
            <w:r>
              <w:rPr>
                <w:rFonts w:ascii="Georgia" w:cs="Georgia" w:eastAsia="Georgia" w:hAnsi="Georgia"/>
                <w:color w:val="566573"/>
                <w:sz w:val="18"/>
                <w:szCs w:val="18"/>
              </w:rPr>
              <w:t xml:space="preserve">18 – 22</w:t>
            </w:r>
          </w:p>
        </w:tc>
        <w:tc>
          <w:tcPr>
            <w:tcW w:type="dxa" w:w="234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40"/>
            </w:pPr>
            <w:r>
              <w:rPr>
                <w:rFonts w:ascii="Georgia" w:cs="Georgia" w:eastAsia="Georgia" w:hAnsi="Georgia"/>
                <w:b/>
                <w:bCs/>
                <w:color w:val="1E8449"/>
                <w:sz w:val="20"/>
                <w:szCs w:val="20"/>
              </w:rPr>
              <w:t xml:space="preserve">Leading</w:t>
            </w:r>
          </w:p>
          <w:p>
            <w:pPr>
              <w:spacing w:before="0" w:after="0"/>
            </w:pPr>
            <w:r>
              <w:rPr>
                <w:rFonts w:ascii="Georgia" w:cs="Georgia" w:eastAsia="Georgia" w:hAnsi="Georgia"/>
                <w:color w:val="566573"/>
                <w:sz w:val="18"/>
                <w:szCs w:val="18"/>
              </w:rPr>
              <w:t xml:space="preserve">23 – 25</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Q26</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decision-making genuinely data-driven — or does intuition and hierarchy routinely override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is a mechanism for making evidence-based decisions at scale. Organisations where senior intuition overrides data will not consistently adopt AI recommendations. Teams learn not to trust AI outputs when overrides are common and unaccountable.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Decisions primarily driven by seniority and intuition. Data presented to support decisions already made. Disagreeing with a senior leader based on data is professionally risky.</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Data valued in some contexts — particularly analytical functions — but does not consistently drive decisions. Senior leaders vary significantly in willingness to be challenged by data.</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Demonstrable data-driven culture across the organisation. Data used to challenge as well as confirm decisions. Leaders model this behaviour and hold teams accountable for evidence-based recommendations.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Q27</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Are AI failures met with learning and improvement — or blame and avoidance?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systems will fail. A blame culture causes teams to deploy without adequate testing, underreport incidents, and optimise for appearing successful rather than being successful. Learning cultures make the most progress with AI because information flows freely.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failures met with blame and negative consequences. Problems are underreported, risks hidden, teams optimise for appearance of success.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Stated culture is blameless but actual culture is inconsistent — some failures treated as learning, others met with blame depending on visibility.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Demonstrable learning culture around AI failures. Post-incident reviews focus on system and process improvement. Teams recognised for honest reporting and rapid improvement. Leadership models this explicitly.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Q28</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employees who will work alongside AI systems trust it — and have they been involved in its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The most technically excellent AI system delivers zero value if the people it is supposed to help do not trust it and find workarounds to avoid it. Trust must be earned through transparency, demonstrated reliability, and genuine involvement.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Significant employee distrust of AI based on fear of displacement, accuracy concerns, or past negative technology experiences. AI initiatives face active resistance.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Employee sentiment mixed and context-dependent. Some teams enthusiastic, others sceptical. No systematic effort to build trust or address concerns proactively.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Proactive programme to build employee trust: transparent communication, shared performance data, genuine design involvement, open concern channels. Employee trust measured and tracked.</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Q29</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Can leadership accept short-term disruption for long-term AI capability — or does every project need immediate ROI?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Building foundational AI capability takes time. Organisations demanding immediate ROI from every investment will never build the infrastructure, governance, and talent that make high-value AI possible. They will only ever fund tactical projects that deliver marginal improvements.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Every AI investment must show positive ROI within 6–12 months. Foundational investments viewed as overhead. Projects not showing fast results are cancelled.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Leadership intellectually accepts foundational investment but in practice applies short-term pressure. Foundational projects started but frequently de-scoped when competing with faster-return initiatives.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Leadership explicitly distinguishes foundational investment from project-level investment. Foundational budgets are protected through quarterly cycles and evaluated against capability metrics, not financial return.</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Q30</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clear, honest workforce narrative about AI's impact — with a genuine support plan for affected roles?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Organisations without a credible workforce narrative create information vacuums filled by fear and rumour. Employees who fear displacement resist AI initiatives. A clear, honest narrative does not promise nothing will change — many roles will. It commits to specific support and gives realistic timelines.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1–2  —  Nascent</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Emerging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4–5  —  Leading</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workforce narrative beyond vague reassurances. Employees interpret AI through speculation. Change management considered only after deployment when resistance is already entrenched.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Narrative exists but aspirational and not credible — focused on opportunity without acknowledging disruption. Gap between official messaging and direct employee experience.</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Clear, honest, credible workforce narrative: acknowledges role changes, specifies which roles and how, commits to specific support (reskilling, redeployment), gives realistic timelines. Developed with employee involvement and communicated personally by senior leaders.</w:t>
                  </w:r>
                </w:p>
              </w:tc>
            </w:tr>
          </w:tbl>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E5E7E9" w:sz="1"/>
              <w:bottom w:val="single" w:color="E5E7E9" w:sz="1"/>
              <w:right w:val="single" w:color="E5E7E9" w:sz="1"/>
            </w:tcBorders>
            <w:shd w:fill="F4F6F7" w:val="clear"/>
            <w:tcMar>
              <w:top w:type="dxa" w:w="160"/>
              <w:left w:type="dxa" w:w="200"/>
              <w:bottom w:type="dxa" w:w="160"/>
              <w:right w:type="dxa" w:w="200"/>
            </w:tcMar>
          </w:tcPr>
          <w:p>
            <w:pPr>
              <w:spacing w:before="0" w:after="100"/>
            </w:pPr>
            <w:r>
              <w:rPr>
                <w:rFonts w:ascii="Georgia" w:cs="Georgia" w:eastAsia="Georgia" w:hAnsi="Georgia"/>
                <w:b/>
                <w:bCs/>
                <w:color w:val="1E8449"/>
                <w:sz w:val="21"/>
                <w:szCs w:val="21"/>
              </w:rPr>
              <w:t xml:space="preserve">What to do next — Culture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7"/>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8"/>
                      <w:szCs w:val="18"/>
                    </w:rPr>
                    <w:t xml:space="preserve">⚠  Score 0–10  (Nascent)</w:t>
                  </w:r>
                </w:p>
              </w:tc>
              <w:tc>
                <w:tcPr>
                  <w:tcW w:type="dxa" w:w="2987"/>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8"/>
                      <w:szCs w:val="18"/>
                    </w:rPr>
                    <w:t xml:space="preserve">◑  Score 11–17  (Emerging)</w:t>
                  </w:r>
                </w:p>
              </w:tc>
              <w:tc>
                <w:tcPr>
                  <w:tcW w:type="dxa" w:w="2987"/>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8"/>
                      <w:szCs w:val="18"/>
                    </w:rPr>
                    <w:t xml:space="preserve">✓  Score 18–25  (Operational+)</w:t>
                  </w:r>
                </w:p>
              </w:tc>
            </w:tr>
            <w:tr>
              <w:tc>
                <w:tcPr>
                  <w:tcW w:type="dxa" w:w="2987"/>
                  <w:tcBorders>
                    <w:top w:val="single" w:color="E5E7E9" w:sz="1"/>
                    <w:left w:val="single" w:color="E5E7E9" w:sz="1"/>
                    <w:bottom w:val="single" w:color="E5E7E9" w:sz="1"/>
                    <w:right w:val="single" w:color="E5E7E9" w:sz="1"/>
                  </w:tcBorders>
                  <w:shd w:fill="FADBD8"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Conduct employee sentiment survey on AI</w:t>
                  </w:r>
                </w:p>
                <w:p>
                  <w:pPr>
                    <w:spacing w:before="0" w:after="30"/>
                  </w:pPr>
                  <w:r>
                    <w:rPr>
                      <w:rFonts w:ascii="Georgia" w:cs="Georgia" w:eastAsia="Georgia" w:hAnsi="Georgia"/>
                      <w:color w:val="2C3E50"/>
                      <w:sz w:val="18"/>
                      <w:szCs w:val="18"/>
                    </w:rPr>
                    <w:t xml:space="preserve">• Identify the 3 most vocal AI sceptics — listen to them</w:t>
                  </w:r>
                </w:p>
                <w:p>
                  <w:pPr>
                    <w:spacing w:before="0" w:after="30"/>
                  </w:pPr>
                  <w:r>
                    <w:rPr>
                      <w:rFonts w:ascii="Georgia" w:cs="Georgia" w:eastAsia="Georgia" w:hAnsi="Georgia"/>
                      <w:color w:val="2C3E50"/>
                      <w:sz w:val="18"/>
                      <w:szCs w:val="18"/>
                    </w:rPr>
                    <w:t xml:space="preserve">• Publish honest workforce narrative from CEO</w:t>
                  </w:r>
                </w:p>
                <w:p>
                  <w:pPr>
                    <w:spacing w:before="0" w:after="30"/>
                  </w:pPr>
                  <w:r>
                    <w:rPr>
                      <w:rFonts w:ascii="Georgia" w:cs="Georgia" w:eastAsia="Georgia" w:hAnsi="Georgia"/>
                      <w:color w:val="2C3E50"/>
                      <w:sz w:val="18"/>
                      <w:szCs w:val="18"/>
                    </w:rPr>
                    <w:t xml:space="preserve">• Start with one team where culture is strongest</w:t>
                  </w:r>
                </w:p>
              </w:tc>
              <w:tc>
                <w:tcPr>
                  <w:tcW w:type="dxa" w:w="2987"/>
                  <w:tcBorders>
                    <w:top w:val="single" w:color="E5E7E9" w:sz="1"/>
                    <w:left w:val="single" w:color="E5E7E9" w:sz="1"/>
                    <w:bottom w:val="single" w:color="E5E7E9" w:sz="1"/>
                    <w:right w:val="single" w:color="E5E7E9" w:sz="1"/>
                  </w:tcBorders>
                  <w:shd w:fill="FDEBD0"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Implement blameless post-mortem process for AI failures</w:t>
                  </w:r>
                </w:p>
                <w:p>
                  <w:pPr>
                    <w:spacing w:before="0" w:after="30"/>
                  </w:pPr>
                  <w:r>
                    <w:rPr>
                      <w:rFonts w:ascii="Georgia" w:cs="Georgia" w:eastAsia="Georgia" w:hAnsi="Georgia"/>
                      <w:color w:val="2C3E50"/>
                      <w:sz w:val="18"/>
                      <w:szCs w:val="18"/>
                    </w:rPr>
                    <w:t xml:space="preserve">• Run data literacy programme for all managers</w:t>
                  </w:r>
                </w:p>
                <w:p>
                  <w:pPr>
                    <w:spacing w:before="0" w:after="30"/>
                  </w:pPr>
                  <w:r>
                    <w:rPr>
                      <w:rFonts w:ascii="Georgia" w:cs="Georgia" w:eastAsia="Georgia" w:hAnsi="Georgia"/>
                      <w:color w:val="2C3E50"/>
                      <w:sz w:val="18"/>
                      <w:szCs w:val="18"/>
                    </w:rPr>
                    <w:t xml:space="preserve">• Involve front-line employees in UX design of first AI tool</w:t>
                  </w:r>
                </w:p>
                <w:p>
                  <w:pPr>
                    <w:spacing w:before="0" w:after="30"/>
                  </w:pPr>
                  <w:r>
                    <w:rPr>
                      <w:rFonts w:ascii="Georgia" w:cs="Georgia" w:eastAsia="Georgia" w:hAnsi="Georgia"/>
                      <w:color w:val="2C3E50"/>
                      <w:sz w:val="18"/>
                      <w:szCs w:val="18"/>
                    </w:rPr>
                    <w:t xml:space="preserve">• Create internal AI champions network</w:t>
                  </w:r>
                </w:p>
              </w:tc>
              <w:tc>
                <w:tcPr>
                  <w:tcW w:type="dxa" w:w="2987"/>
                  <w:tcBorders>
                    <w:top w:val="single" w:color="E5E7E9" w:sz="1"/>
                    <w:left w:val="single" w:color="E5E7E9" w:sz="1"/>
                    <w:bottom w:val="single" w:color="E5E7E9" w:sz="1"/>
                    <w:right w:val="single" w:color="E5E7E9" w:sz="1"/>
                  </w:tcBorders>
                  <w:shd w:fill="D5F5E3" w:val="clear"/>
                  <w:tcMar>
                    <w:top w:type="dxa" w:w="100"/>
                    <w:left w:type="dxa" w:w="120"/>
                    <w:bottom w:type="dxa" w:w="100"/>
                    <w:right w:type="dxa" w:w="100"/>
                  </w:tcMar>
                </w:tcPr>
                <w:p>
                  <w:pPr>
                    <w:spacing w:before="0" w:after="30"/>
                  </w:pPr>
                  <w:r>
                    <w:rPr>
                      <w:rFonts w:ascii="Georgia" w:cs="Georgia" w:eastAsia="Georgia" w:hAnsi="Georgia"/>
                      <w:color w:val="2C3E50"/>
                      <w:sz w:val="18"/>
                      <w:szCs w:val="18"/>
                    </w:rPr>
                    <w:t xml:space="preserve">• Embed data-driven decision metrics in performance reviews</w:t>
                  </w:r>
                </w:p>
                <w:p>
                  <w:pPr>
                    <w:spacing w:before="0" w:after="30"/>
                  </w:pPr>
                  <w:r>
                    <w:rPr>
                      <w:rFonts w:ascii="Georgia" w:cs="Georgia" w:eastAsia="Georgia" w:hAnsi="Georgia"/>
                      <w:color w:val="2C3E50"/>
                      <w:sz w:val="18"/>
                      <w:szCs w:val="18"/>
                    </w:rPr>
                    <w:t xml:space="preserve">• Publish annual AI impact report for employees</w:t>
                  </w:r>
                </w:p>
                <w:p>
                  <w:pPr>
                    <w:spacing w:before="0" w:after="30"/>
                  </w:pPr>
                  <w:r>
                    <w:rPr>
                      <w:rFonts w:ascii="Georgia" w:cs="Georgia" w:eastAsia="Georgia" w:hAnsi="Georgia"/>
                      <w:color w:val="2C3E50"/>
                      <w:sz w:val="18"/>
                      <w:szCs w:val="18"/>
                    </w:rPr>
                    <w:t xml:space="preserve">• Establish AI innovation fund owned by front-line teams</w:t>
                  </w:r>
                </w:p>
                <w:p>
                  <w:pPr>
                    <w:spacing w:before="0" w:after="30"/>
                  </w:pPr>
                  <w:r>
                    <w:rPr>
                      <w:rFonts w:ascii="Georgia" w:cs="Georgia" w:eastAsia="Georgia" w:hAnsi="Georgia"/>
                      <w:color w:val="2C3E50"/>
                      <w:sz w:val="18"/>
                      <w:szCs w:val="18"/>
                    </w:rPr>
                    <w:t xml:space="preserve">• Create AI talent exchange programme across business units</w:t>
                  </w:r>
                </w:p>
              </w:tc>
            </w:tr>
          </w:tbl>
          <w:p/>
        </w:tc>
      </w:tr>
    </w:tbl>
    <w:p>
      <w:r>
        <w:br w:type="page"/>
      </w:r>
    </w:p>
    <w:p>
      <w:pPr>
        <w:spacing w:before="480" w:after="120"/>
      </w:pPr>
      <w:r>
        <w:rPr>
          <w:rFonts w:ascii="Georgia" w:cs="Georgia" w:eastAsia="Georgia" w:hAnsi="Georgia"/>
          <w:b/>
          <w:bCs/>
          <w:color w:val="1C2833"/>
          <w:sz w:val="52"/>
          <w:szCs w:val="52"/>
        </w:rPr>
        <w:t xml:space="preserve">Bonus Dimension — AI Economics</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A5276"/>
                <w:sz w:val="21"/>
                <w:szCs w:val="21"/>
              </w:rPr>
              <w:t xml:space="preserve">Why this dimension was added in v2.0</w:t>
            </w:r>
          </w:p>
          <w:p>
            <w:pPr>
              <w:spacing w:before="0" w:after="0"/>
            </w:pPr>
            <w:r>
              <w:rPr>
                <w:rFonts w:ascii="Georgia" w:cs="Georgia" w:eastAsia="Georgia" w:hAnsi="Georgia"/>
                <w:color w:val="2C3E50"/>
                <w:sz w:val="21"/>
                <w:szCs w:val="21"/>
              </w:rPr>
              <w:t xml:space="preserve">The original six dimensions assess operational readiness. But organisations also fail at AI because they cannot justify or sustain AI financially. Boards are asking: what is the cost of inference at scale? What is the ROI model? Can we evaluate build vs buy? These questions require a distinct economic literacy that the six dimensions above do not cover. Score this dimension separately — it does not contribute to the 150-point total.</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E1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understand the cost of AI inference at production scale — and has it been modelled in your business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AI inference at scale is significantly more expensive than most business cases model. A system serving 100,000 requests per day with a large language model can cost tens of thousands of dollars per month in inference alone — before storage, monitoring, retraining, and governance costs. Business cases that do not model inference cost at expected volume consistently produce budget overruns that kill otherwise successful projects 6–12 months after deployment.</w:t>
            </w:r>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E2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organisation have a rigorous build vs buy vs partner framework for AI — and is it applied consistently?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MIT NANDA 2025 found that purchasing and partnering solutions succeed approximately 67% of the time while internal builds succeed only 33% of the time. Organisations that default to building when buying would be faster, cheaper, and lower risk consistently overspend on AI. A rigorous build vs buy vs partner framework — applied consistently across all AI use cases — is one of the highest-ROI governance investments an organisation can make.</w:t>
            </w:r>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E3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portfolio-level ROI model for AI — tracking cumulative investment against cumulative value delivered across all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this matters</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0"/>
                <w:szCs w:val="20"/>
              </w:rPr>
              <w:t xml:space="preserve">Gartner 2024: 49% of executives cite difficulty demonstrating the value of AI projects as the primary obstacle to AI adoption. Organisations that track AI investment and value at portfolio level — not just project level — can demonstrate cumulative returns, justify continued investment during downturns, and make evidence-based decisions about which programmes to scale and which to stop.</w:t>
            </w:r>
          </w:p>
        </w:tc>
      </w:tr>
    </w:tbl>
    <w:p>
      <w:r>
        <w:br w:type="page"/>
      </w:r>
    </w:p>
    <w:p>
      <w:pPr>
        <w:spacing w:before="480" w:after="120"/>
      </w:pPr>
      <w:r>
        <w:rPr>
          <w:rFonts w:ascii="Georgia" w:cs="Georgia" w:eastAsia="Georgia" w:hAnsi="Georgia"/>
          <w:b/>
          <w:bCs/>
          <w:color w:val="1C2833"/>
          <w:sz w:val="52"/>
          <w:szCs w:val="52"/>
        </w:rPr>
        <w:t xml:space="preserve">90-Day Readiness Roadmap</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How to use this roadmap</w:t>
            </w:r>
          </w:p>
          <w:p>
            <w:pPr>
              <w:spacing w:before="0" w:after="0"/>
            </w:pPr>
            <w:r>
              <w:rPr>
                <w:rFonts w:ascii="Georgia" w:cs="Georgia" w:eastAsia="Georgia" w:hAnsi="Georgia"/>
                <w:color w:val="2C3E50"/>
                <w:sz w:val="21"/>
                <w:szCs w:val="21"/>
              </w:rPr>
              <w:t xml:space="preserve">Identify your two or three lowest-scoring dimensions from the scorecard below. Use the corresponding playbook (at the end of each dimension section) and the month-by-month roadmap below to build your 90-day plan. Do not try to address all six dimensions simultaneously — prioritise the critical gaps first.
The roadmap assumes a starting score of 60–90/150 (Emerging). If you scored below 60, extend Month 1 tasks across months 1–2 before moving forward.</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20"/>
            </w:tcMar>
            <w:vAlign w:val="center"/>
          </w:tcPr>
          <w:p>
            <w:pPr>
              <w:spacing w:before="0" w:after="40"/>
              <w:jc w:val="center"/>
            </w:pPr>
            <w:r>
              <w:rPr>
                <w:rFonts w:ascii="Georgia" w:cs="Georgia" w:eastAsia="Georgia" w:hAnsi="Georgia"/>
                <w:b/>
                <w:bCs/>
                <w:color w:val="FFFFFF"/>
                <w:sz w:val="22"/>
                <w:szCs w:val="22"/>
              </w:rPr>
              <w:t xml:space="preserve">Month 1</w:t>
            </w:r>
          </w:p>
          <w:p>
            <w:pPr>
              <w:spacing w:before="0" w:after="0"/>
              <w:jc w:val="center"/>
            </w:pPr>
            <w:r>
              <w:rPr>
                <w:rFonts w:ascii="Georgia" w:cs="Georgia" w:eastAsia="Georgia" w:hAnsi="Georgia"/>
                <w:i/>
                <w:iCs/>
                <w:color w:val="FFFFFF"/>
                <w:sz w:val="16"/>
                <w:szCs w:val="16"/>
              </w:rPr>
              <w:t xml:space="preserve">Foundations</w:t>
            </w:r>
          </w:p>
        </w:tc>
        <w:tc>
          <w:tcPr>
            <w:tcW w:type="dxa" w:w="8160"/>
            <w:tcBorders>
              <w:top w:val="none" w:color="FFFFFF" w:sz="0"/>
              <w:left w:val="none" w:color="FFFFFF" w:sz="0"/>
              <w:bottom w:val="single" w:color="E5E7E9" w:sz="1"/>
              <w:right w:val="none" w:color="FFFFFF" w:sz="0"/>
            </w:tcBorders>
            <w:shd w:fill="FDFEFE" w:val="clear"/>
            <w:tcMar>
              <w:top w:type="dxa" w:w="120"/>
              <w:left w:type="dxa" w:w="160"/>
              <w:bottom w:type="dxa" w:w="120"/>
              <w:right w:type="dxa" w:w="120"/>
            </w:tcMar>
          </w:tcPr>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Complete the full AI inventory — all AI systems, their risk classification, their owners</w:t>
            </w:r>
          </w:p>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Appoint named owners for Strategy, Data, Governance, and Talent dimensions</w:t>
            </w:r>
          </w:p>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Run the Executive Quick Scan with the full leadership team — document disagreements</w:t>
            </w:r>
          </w:p>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Identify your two critical gaps (lowest dimension scores) and assign a 90-day lead per gap</w:t>
            </w:r>
          </w:p>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Conduct data asset inventory for the top 3 priority use cases</w:t>
            </w:r>
          </w:p>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Engage legal and DPO for AI regulatory obligation mapping (EU AI Act / DPDP)</w:t>
            </w:r>
          </w:p>
          <w:p>
            <w:pPr>
              <w:spacing w:before="40" w:after="40"/>
            </w:pPr>
            <w:r>
              <w:rPr>
                <w:rFonts w:ascii="Georgia" w:cs="Georgia" w:eastAsia="Georgia" w:hAnsi="Georgia"/>
                <w:b/>
                <w:bCs/>
                <w:color w:val="1A5276"/>
                <w:sz w:val="20"/>
                <w:szCs w:val="20"/>
              </w:rPr>
              <w:t xml:space="preserve">→  </w:t>
            </w:r>
            <w:r>
              <w:rPr>
                <w:rFonts w:ascii="Georgia" w:cs="Georgia" w:eastAsia="Georgia" w:hAnsi="Georgia"/>
                <w:color w:val="2C3E50"/>
                <w:sz w:val="20"/>
                <w:szCs w:val="20"/>
              </w:rPr>
              <w:t xml:space="preserve">Run executive AI literacy workshop — minimum 2 hours, all C-suite</w:t>
            </w:r>
          </w:p>
        </w:tc>
      </w:tr>
    </w:tbl>
    <w:p>
      <w:pPr>
        <w:spacing w:before="4"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17A65" w:val="clear"/>
            <w:tcMar>
              <w:top w:type="dxa" w:w="120"/>
              <w:left w:type="dxa" w:w="160"/>
              <w:bottom w:type="dxa" w:w="120"/>
              <w:right w:type="dxa" w:w="120"/>
            </w:tcMar>
            <w:vAlign w:val="center"/>
          </w:tcPr>
          <w:p>
            <w:pPr>
              <w:spacing w:before="0" w:after="40"/>
              <w:jc w:val="center"/>
            </w:pPr>
            <w:r>
              <w:rPr>
                <w:rFonts w:ascii="Georgia" w:cs="Georgia" w:eastAsia="Georgia" w:hAnsi="Georgia"/>
                <w:b/>
                <w:bCs/>
                <w:color w:val="FFFFFF"/>
                <w:sz w:val="22"/>
                <w:szCs w:val="22"/>
              </w:rPr>
              <w:t xml:space="preserve">Month 2</w:t>
            </w:r>
          </w:p>
          <w:p>
            <w:pPr>
              <w:spacing w:before="0" w:after="0"/>
              <w:jc w:val="center"/>
            </w:pPr>
            <w:r>
              <w:rPr>
                <w:rFonts w:ascii="Georgia" w:cs="Georgia" w:eastAsia="Georgia" w:hAnsi="Georgia"/>
                <w:i/>
                <w:iCs/>
                <w:color w:val="FFFFFF"/>
                <w:sz w:val="16"/>
                <w:szCs w:val="16"/>
              </w:rPr>
              <w:t xml:space="preserve">Infrastructure and Controls</w:t>
            </w:r>
          </w:p>
        </w:tc>
        <w:tc>
          <w:tcPr>
            <w:tcW w:type="dxa" w:w="8160"/>
            <w:tcBorders>
              <w:top w:val="none" w:color="FFFFFF" w:sz="0"/>
              <w:left w:val="none" w:color="FFFFFF" w:sz="0"/>
              <w:bottom w:val="single" w:color="E5E7E9" w:sz="1"/>
              <w:right w:val="none" w:color="FFFFFF" w:sz="0"/>
            </w:tcBorders>
            <w:shd w:fill="FDFEFE" w:val="clear"/>
            <w:tcMar>
              <w:top w:type="dxa" w:w="120"/>
              <w:left w:type="dxa" w:w="160"/>
              <w:bottom w:type="dxa" w:w="120"/>
              <w:right w:type="dxa" w:w="120"/>
            </w:tcMar>
          </w:tcPr>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Build first production-grade data pipeline for priority use case</w:t>
            </w:r>
          </w:p>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Operationalise the first three T.R.U.S.T. Framework controls as technical controls</w:t>
            </w:r>
          </w:p>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Implement basic MLOps — model registry and deployment automation for first project</w:t>
            </w:r>
          </w:p>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Define AI incident response playbooks for the three most likely failure modes</w:t>
            </w:r>
          </w:p>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Complete build vs buy vs partner evaluation for each prioritised use case</w:t>
            </w:r>
          </w:p>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Run first structured data quality audit on priority use case data</w:t>
            </w:r>
          </w:p>
          <w:p>
            <w:pPr>
              <w:spacing w:before="40" w:after="40"/>
            </w:pPr>
            <w:r>
              <w:rPr>
                <w:rFonts w:ascii="Georgia" w:cs="Georgia" w:eastAsia="Georgia" w:hAnsi="Georgia"/>
                <w:b/>
                <w:bCs/>
                <w:color w:val="117A65"/>
                <w:sz w:val="20"/>
                <w:szCs w:val="20"/>
              </w:rPr>
              <w:t xml:space="preserve">→  </w:t>
            </w:r>
            <w:r>
              <w:rPr>
                <w:rFonts w:ascii="Georgia" w:cs="Georgia" w:eastAsia="Georgia" w:hAnsi="Georgia"/>
                <w:color w:val="2C3E50"/>
                <w:sz w:val="20"/>
                <w:szCs w:val="20"/>
              </w:rPr>
              <w:t xml:space="preserve">Publish honest workforce narrative — communicated personally by CEO or equivalent</w:t>
            </w:r>
          </w:p>
        </w:tc>
      </w:tr>
    </w:tbl>
    <w:p>
      <w:pPr>
        <w:spacing w:before="4"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2B21" w:val="clear"/>
            <w:tcMar>
              <w:top w:type="dxa" w:w="120"/>
              <w:left w:type="dxa" w:w="160"/>
              <w:bottom w:type="dxa" w:w="120"/>
              <w:right w:type="dxa" w:w="120"/>
            </w:tcMar>
            <w:vAlign w:val="center"/>
          </w:tcPr>
          <w:p>
            <w:pPr>
              <w:spacing w:before="0" w:after="40"/>
              <w:jc w:val="center"/>
            </w:pPr>
            <w:r>
              <w:rPr>
                <w:rFonts w:ascii="Georgia" w:cs="Georgia" w:eastAsia="Georgia" w:hAnsi="Georgia"/>
                <w:b/>
                <w:bCs/>
                <w:color w:val="FFFFFF"/>
                <w:sz w:val="22"/>
                <w:szCs w:val="22"/>
              </w:rPr>
              <w:t xml:space="preserve">Month 3</w:t>
            </w:r>
          </w:p>
          <w:p>
            <w:pPr>
              <w:spacing w:before="0" w:after="0"/>
              <w:jc w:val="center"/>
            </w:pPr>
            <w:r>
              <w:rPr>
                <w:rFonts w:ascii="Georgia" w:cs="Georgia" w:eastAsia="Georgia" w:hAnsi="Georgia"/>
                <w:i/>
                <w:iCs/>
                <w:color w:val="FFFFFF"/>
                <w:sz w:val="16"/>
                <w:szCs w:val="16"/>
              </w:rPr>
              <w:t xml:space="preserve">First AI Pilot Under Governance</w:t>
            </w:r>
          </w:p>
        </w:tc>
        <w:tc>
          <w:tcPr>
            <w:tcW w:type="dxa" w:w="8160"/>
            <w:tcBorders>
              <w:top w:val="none" w:color="FFFFFF" w:sz="0"/>
              <w:left w:val="none" w:color="FFFFFF" w:sz="0"/>
              <w:bottom w:val="single" w:color="E5E7E9" w:sz="1"/>
              <w:right w:val="none" w:color="FFFFFF" w:sz="0"/>
            </w:tcBorders>
            <w:shd w:fill="FDFEFE" w:val="clear"/>
            <w:tcMar>
              <w:top w:type="dxa" w:w="120"/>
              <w:left w:type="dxa" w:w="160"/>
              <w:bottom w:type="dxa" w:w="120"/>
              <w:right w:type="dxa" w:w="120"/>
            </w:tcMar>
          </w:tcPr>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Launch first AI pilot using the SpanForge Build phase CI/CD gate framework</w:t>
            </w:r>
          </w:p>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AgentOBS active before first production request — behavioural baseline established</w:t>
            </w:r>
          </w:p>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Run post-90-day re-assessment — re-score all six dimensions</w:t>
            </w:r>
          </w:p>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Document lessons learned and update readiness plan for next 90 days</w:t>
            </w:r>
          </w:p>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Publish 90-day progress update internally — builds trust and momentum</w:t>
            </w:r>
          </w:p>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Submit first AI system to EU AI Act compliance review if high-risk classification</w:t>
            </w:r>
          </w:p>
          <w:p>
            <w:pPr>
              <w:spacing w:before="40" w:after="40"/>
            </w:pPr>
            <w:r>
              <w:rPr>
                <w:rFonts w:ascii="Georgia" w:cs="Georgia" w:eastAsia="Georgia" w:hAnsi="Georgia"/>
                <w:b/>
                <w:bCs/>
                <w:color w:val="922B21"/>
                <w:sz w:val="20"/>
                <w:szCs w:val="20"/>
              </w:rPr>
              <w:t xml:space="preserve">→  </w:t>
            </w:r>
            <w:r>
              <w:rPr>
                <w:rFonts w:ascii="Georgia" w:cs="Georgia" w:eastAsia="Georgia" w:hAnsi="Georgia"/>
                <w:color w:val="2C3E50"/>
                <w:sz w:val="20"/>
                <w:szCs w:val="20"/>
              </w:rPr>
              <w:t xml:space="preserve">Set date for next formal readiness assessment — 6 months from today</w:t>
            </w:r>
          </w:p>
        </w:tc>
      </w:tr>
    </w:tbl>
    <w:p>
      <w:r>
        <w:br w:type="page"/>
      </w:r>
    </w:p>
    <w:p>
      <w:pPr>
        <w:spacing w:before="480" w:after="120"/>
      </w:pPr>
      <w:r>
        <w:rPr>
          <w:rFonts w:ascii="Georgia" w:cs="Georgia" w:eastAsia="Georgia" w:hAnsi="Georgia"/>
          <w:b/>
          <w:bCs/>
          <w:color w:val="1C2833"/>
          <w:sz w:val="52"/>
          <w:szCs w:val="52"/>
        </w:rPr>
        <w:t xml:space="preserve">Scoring Guide and Scorecard</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E5E7E9" w:sz="1"/>
              <w:left w:val="single" w:color="E5E7E9" w:sz="1"/>
              <w:bottom w:val="single" w:color="E5E7E9" w:sz="1"/>
              <w:right w:val="single" w:color="E5E7E9" w:sz="1"/>
            </w:tcBorders>
            <w:shd w:fill="1C2833" w:val="clear"/>
            <w:tcMar>
              <w:top w:type="dxa" w:w="80"/>
              <w:left w:type="dxa" w:w="120"/>
              <w:bottom w:type="dxa" w:w="80"/>
              <w:right w:type="dxa" w:w="100"/>
            </w:tcMar>
          </w:tcPr>
          <w:p>
            <w:pPr>
              <w:spacing w:before="0" w:after="0"/>
            </w:pPr>
            <w:r>
              <w:rPr>
                <w:rFonts w:ascii="Georgia" w:cs="Georgia" w:eastAsia="Georgia" w:hAnsi="Georgia"/>
                <w:b/>
                <w:bCs/>
                <w:caps/>
                <w:color w:val="FFFFFF"/>
                <w:sz w:val="18"/>
                <w:szCs w:val="18"/>
              </w:rPr>
              <w:t xml:space="preserve">Score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20"/>
              <w:bottom w:type="dxa" w:w="80"/>
              <w:right w:type="dxa" w:w="100"/>
            </w:tcMar>
          </w:tcPr>
          <w:p>
            <w:pPr>
              <w:spacing w:before="0" w:after="0"/>
            </w:pPr>
            <w:r>
              <w:rPr>
                <w:rFonts w:ascii="Georgia" w:cs="Georgia" w:eastAsia="Georgia" w:hAnsi="Georgia"/>
                <w:b/>
                <w:bCs/>
                <w:caps/>
                <w:color w:val="FFFFFF"/>
                <w:sz w:val="18"/>
                <w:szCs w:val="18"/>
              </w:rPr>
              <w:t xml:space="preserve">Maturity</w:t>
            </w:r>
          </w:p>
        </w:tc>
        <w:tc>
          <w:tcPr>
            <w:tcW w:type="dxa" w:w="6160"/>
            <w:tcBorders>
              <w:top w:val="single" w:color="E5E7E9" w:sz="1"/>
              <w:left w:val="single" w:color="E5E7E9" w:sz="1"/>
              <w:bottom w:val="single" w:color="E5E7E9" w:sz="1"/>
              <w:right w:val="single" w:color="E5E7E9" w:sz="1"/>
            </w:tcBorders>
            <w:shd w:fill="1C2833" w:val="clear"/>
            <w:tcMar>
              <w:top w:type="dxa" w:w="80"/>
              <w:left w:type="dxa" w:w="120"/>
              <w:bottom w:type="dxa" w:w="80"/>
              <w:right w:type="dxa" w:w="100"/>
            </w:tcMar>
          </w:tcPr>
          <w:p>
            <w:pPr>
              <w:spacing w:before="0" w:after="0"/>
            </w:pPr>
            <w:r>
              <w:rPr>
                <w:rFonts w:ascii="Georgia" w:cs="Georgia" w:eastAsia="Georgia" w:hAnsi="Georgia"/>
                <w:b/>
                <w:bCs/>
                <w:caps/>
                <w:color w:val="FFFFFF"/>
                <w:sz w:val="18"/>
                <w:szCs w:val="18"/>
              </w:rPr>
              <w:t xml:space="preserve">What it means — and what to do</w:t>
            </w:r>
          </w:p>
        </w:tc>
      </w:tr>
      <w:tr>
        <w:tc>
          <w:tcPr>
            <w:tcW w:type="dxa" w:w="160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9"/>
                <w:szCs w:val="19"/>
              </w:rPr>
              <w:t xml:space="preserve">130 – 150</w:t>
            </w:r>
          </w:p>
        </w:tc>
        <w:tc>
          <w:tcPr>
            <w:tcW w:type="dxa" w:w="160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9"/>
                <w:szCs w:val="19"/>
              </w:rPr>
              <w:t xml:space="preserve">Leading</w:t>
            </w:r>
          </w:p>
        </w:tc>
        <w:tc>
          <w:tcPr>
            <w:tcW w:type="dxa" w:w="61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Ready for strategic AI. Review any dimension below 20 — even a high total with one low dimension hides a critical gap. Benchmark against AI leaders in your sector.</w:t>
            </w:r>
          </w:p>
        </w:tc>
      </w:tr>
      <w:tr>
        <w:tc>
          <w:tcPr>
            <w:tcW w:type="dxa" w:w="160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0"/>
            </w:pPr>
            <w:r>
              <w:rPr>
                <w:rFonts w:ascii="Georgia" w:cs="Georgia" w:eastAsia="Georgia" w:hAnsi="Georgia"/>
                <w:b/>
                <w:bCs/>
                <w:color w:val="1A5276"/>
                <w:sz w:val="19"/>
                <w:szCs w:val="19"/>
              </w:rPr>
              <w:t xml:space="preserve">105 – 129</w:t>
            </w:r>
          </w:p>
        </w:tc>
        <w:tc>
          <w:tcPr>
            <w:tcW w:type="dxa" w:w="160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0"/>
            </w:pPr>
            <w:r>
              <w:rPr>
                <w:rFonts w:ascii="Georgia" w:cs="Georgia" w:eastAsia="Georgia" w:hAnsi="Georgia"/>
                <w:b/>
                <w:bCs/>
                <w:color w:val="1A5276"/>
                <w:sz w:val="19"/>
                <w:szCs w:val="19"/>
              </w:rPr>
              <w:t xml:space="preserve">Operational</w:t>
            </w:r>
          </w:p>
        </w:tc>
        <w:tc>
          <w:tcPr>
            <w:tcW w:type="dxa" w:w="61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AI projects can proceed in stronger dimensions. Build a 90-day plan to address dimensions scoring below 18. Revisit in 3 months.</w:t>
            </w:r>
          </w:p>
        </w:tc>
      </w:tr>
      <w:tr>
        <w:tc>
          <w:tcPr>
            <w:tcW w:type="dxa" w:w="160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9"/>
                <w:szCs w:val="19"/>
              </w:rPr>
              <w:t xml:space="preserve">75 – 104</w:t>
            </w:r>
          </w:p>
        </w:tc>
        <w:tc>
          <w:tcPr>
            <w:tcW w:type="dxa" w:w="160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9"/>
                <w:szCs w:val="19"/>
              </w:rPr>
              <w:t xml:space="preserve">Emerging</w:t>
            </w:r>
          </w:p>
        </w:tc>
        <w:tc>
          <w:tcPr>
            <w:tcW w:type="dxa" w:w="61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Limit AI to low-risk experiments. Invest 6–12 months in foundational readiness. Use the dimension playbooks. Re-assess every 90 days.</w:t>
            </w:r>
          </w:p>
        </w:tc>
      </w:tr>
      <w:tr>
        <w:tc>
          <w:tcPr>
            <w:tcW w:type="dxa" w:w="160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9"/>
                <w:szCs w:val="19"/>
              </w:rPr>
              <w:t xml:space="preserve">Below 75</w:t>
            </w:r>
          </w:p>
        </w:tc>
        <w:tc>
          <w:tcPr>
            <w:tcW w:type="dxa" w:w="160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9"/>
                <w:szCs w:val="19"/>
              </w:rPr>
              <w:t xml:space="preserve">Nascent</w:t>
            </w:r>
          </w:p>
        </w:tc>
        <w:tc>
          <w:tcPr>
            <w:tcW w:type="dxa" w:w="61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Do not commit to significant AI investment. Fundamental gaps will cause projects to fail. Address Strategy and Data dimensions first. Re-assess in 90 days.</w:t>
            </w:r>
          </w:p>
        </w:tc>
      </w:tr>
    </w:tbl>
    <w:p>
      <w:pPr>
        <w:spacing w:before="12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Dimension scorecard — complete after scoring all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600"/>
        <w:gridCol w:w="1600"/>
        <w:gridCol w:w="1960"/>
      </w:tblGrid>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22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Dimension</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Max score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Your score</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Maturity level</w:t>
            </w:r>
          </w:p>
        </w:tc>
        <w:tc>
          <w:tcPr>
            <w:tcW w:type="dxa" w:w="19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Priority if below 15</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01</w:t>
            </w:r>
          </w:p>
        </w:tc>
        <w:tc>
          <w:tcPr>
            <w:tcW w:type="dxa" w:w="2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Strategy</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Critical. No AI programme survives without strategic commitment.</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02</w:t>
            </w:r>
          </w:p>
        </w:tc>
        <w:tc>
          <w:tcPr>
            <w:tcW w:type="dxa" w:w="2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Data</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Critical. Data gaps are the #1 cause of AI project failure.</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03</w:t>
            </w:r>
          </w:p>
        </w:tc>
        <w:tc>
          <w:tcPr>
            <w:tcW w:type="dxa" w:w="2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Infrastructure</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High. Infrastructure gaps are expensive to fix after project commitment.</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04</w:t>
            </w:r>
          </w:p>
        </w:tc>
        <w:tc>
          <w:tcPr>
            <w:tcW w:type="dxa" w:w="2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Talent</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High. Missing roles cannot be hired fast enough to save a project.</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05</w:t>
            </w:r>
          </w:p>
        </w:tc>
        <w:tc>
          <w:tcPr>
            <w:tcW w:type="dxa" w:w="2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Governance</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Critical. Creates regulatory and reputational exposure.</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06</w:t>
            </w:r>
          </w:p>
        </w:tc>
        <w:tc>
          <w:tcPr>
            <w:tcW w:type="dxa" w:w="2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Culture</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High. Cultural resistance undermines technically excellent systems.</w:t>
            </w:r>
          </w:p>
        </w:tc>
      </w:tr>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jc w:val="center"/>
            </w:pPr>
            <w:r>
              <w:rPr>
                <w:rFonts w:ascii="Georgia" w:cs="Georgia" w:eastAsia="Georgia" w:hAnsi="Georgia"/>
                <w:b/>
                <w:bCs/>
                <w:color w:val="FFFFFF"/>
                <w:sz w:val="19"/>
                <w:szCs w:val="19"/>
              </w:rPr>
              <w:t xml:space="preserve">—</w:t>
            </w:r>
          </w:p>
        </w:tc>
        <w:tc>
          <w:tcPr>
            <w:tcW w:type="dxa" w:w="22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9"/>
                <w:szCs w:val="19"/>
              </w:rPr>
              <w:t xml:space="preserve">TOTAL</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9"/>
                <w:szCs w:val="19"/>
              </w:rPr>
              <w:t xml:space="preserve">150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150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c>
          <w:tcPr>
            <w:tcW w:type="dxa" w:w="19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i/>
                <w:iCs/>
                <w:color w:val="FFFFFF"/>
                <w:sz w:val="17"/>
                <w:szCs w:val="17"/>
              </w:rPr>
              <w:t xml:space="preserve">Minimum 90/150. No dimension below 12/25. Re-assess every 6 months.</w:t>
            </w:r>
          </w:p>
        </w:tc>
      </w:tr>
    </w:tbl>
    <w:p>
      <w:pPr>
        <w:spacing w:before="12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Workshop Facilitation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Running this as a team workshop — recommended approach</w:t>
            </w:r>
          </w:p>
          <w:p>
            <w:pPr>
              <w:spacing w:before="0" w:after="0"/>
            </w:pPr>
            <w:r>
              <w:rPr>
                <w:rFonts w:ascii="Georgia" w:cs="Georgia" w:eastAsia="Georgia" w:hAnsi="Georgia"/>
                <w:color w:val="2C3E50"/>
                <w:sz w:val="21"/>
                <w:szCs w:val="21"/>
              </w:rPr>
              <w:t xml:space="preserve">Participants: AI lead, CTO/CIO, data lead, legal/compliance, HR, and 2–3 business unit representatives. Minimum 5 people. Maximum 10.
Time required: 3 hours for full 30-question assessment. 90 minutes for Executive Quick Scan only.
Facilitation rule: Each participant scores independently before discussion. If two scores differ by more than 2 points, the disagreement is the data — discuss the assumption behind each score before averaging.
Time allocation: 20 minutes per dimension (5 questions × 4 minutes). 15 minutes for scoring summary and roadmap priorities at the end.
Conflict resolution: When scores differ significantly, ask: 'What would need to be true for this to be a 5?' That question surfaces the gap more usefully than debating current state.
Re-assessment: Set the date for the next workshop before leaving today. Recommended: every 6 months. Track improvement per dimension over time.</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C0392B"/>
                <w:sz w:val="21"/>
                <w:szCs w:val="21"/>
              </w:rPr>
              <w:t xml:space="preserve">Repeatability — this is a system, not a one-time document</w:t>
            </w:r>
          </w:p>
          <w:p>
            <w:pPr>
              <w:spacing w:before="0" w:after="0"/>
            </w:pPr>
            <w:r>
              <w:rPr>
                <w:rFonts w:ascii="Georgia" w:cs="Georgia" w:eastAsia="Georgia" w:hAnsi="Georgia"/>
                <w:color w:val="2C3E50"/>
                <w:sz w:val="21"/>
                <w:szCs w:val="21"/>
              </w:rPr>
              <w:t xml:space="preserve">This assessment is designed to be repeated. Score it today. Re-score in 6 months. Track your improvement per dimension over time. The organisations that make the most progress with AI use readiness assessments as a management tool — not a one-time gate — and drive continuous improvement against their weakest dimensions.
getspanforge.com — registered users can save and compare assessment scores over time.</w:t>
            </w:r>
          </w:p>
        </w:tc>
      </w:tr>
    </w:tbl>
    <w:p>
      <w:pPr>
        <w:spacing w:before="200" w:after="0"/>
      </w:pPr>
      <w:r>
        <w:rPr>
          <w:rFonts w:ascii="Georgia" w:cs="Georgia" w:eastAsia="Georgia" w:hAnsi="Georgia"/>
          <w:color w:val="2C3E50"/>
          <w:sz w:val="22"/>
          <w:szCs w:val="22"/>
        </w:rPr>
        <w:t xml:space="preserve"/>
      </w:r>
    </w:p>
    <w:p>
      <w:pPr>
        <w:jc w:val="center"/>
      </w:pPr>
      <w:r>
        <w:rPr>
          <w:rFonts w:ascii="Georgia" w:cs="Georgia" w:eastAsia="Georgia" w:hAnsi="Georgia"/>
          <w:i/>
          <w:iCs/>
          <w:color w:val="566573"/>
          <w:sz w:val="20"/>
          <w:szCs w:val="20"/>
        </w:rPr>
        <w:t xml:space="preserve">SpanForge AI Organisational Readiness Assessment v2.0  —  Discover Phase  —  getspanforge.com</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4040"/>
    </w:tblGrid>
    <w:tr>
      <w:tc>
        <w:tcPr>
          <w:tcW w:type="dxa" w:w="5800"/>
          <w:tcBorders>
            <w:top w:val="single" w:color="E5E7E9" w:sz="2"/>
            <w:left w:val="none" w:color="FFFFFF" w:sz="0"/>
            <w:bottom w:val="none" w:color="FFFFFF" w:sz="0"/>
            <w:right w:val="none" w:color="FFFFFF" w:sz="0"/>
          </w:tcBorders>
          <w:shd w:fill="FFFFFF" w:val="clear"/>
          <w:tcMar>
            <w:top w:type="dxa" w:w="60"/>
            <w:left w:type="dxa" w:w="0"/>
            <w:bottom w:type="dxa" w:w="0"/>
            <w:right w:type="dxa" w:w="0"/>
          </w:tcMar>
        </w:tcPr>
        <w:p>
          <w:pPr>
            <w:spacing w:before="0" w:after="0"/>
          </w:pPr>
          <w:r>
            <w:rPr>
              <w:rFonts w:ascii="Georgia" w:cs="Georgia" w:eastAsia="Georgia" w:hAnsi="Georgia"/>
              <w:color w:val="566573"/>
              <w:sz w:val="17"/>
              <w:szCs w:val="17"/>
            </w:rPr>
            <w:t xml:space="preserve">SpanForge  —  getspanforge.com  —  Discover Phase v2.0</w:t>
          </w:r>
        </w:p>
      </w:tc>
      <w:tc>
        <w:tcPr>
          <w:tcW w:type="dxa" w:w="4040"/>
          <w:tcBorders>
            <w:top w:val="single" w:color="E5E7E9" w:sz="2"/>
            <w:left w:val="none" w:color="FFFFFF" w:sz="0"/>
            <w:bottom w:val="none" w:color="FFFFFF" w:sz="0"/>
            <w:right w:val="none" w:color="FFFFFF" w:sz="0"/>
          </w:tcBorders>
          <w:shd w:fill="FFFFFF" w:val="clear"/>
          <w:tcMar>
            <w:top w:type="dxa" w:w="60"/>
            <w:left w:type="dxa" w:w="0"/>
            <w:bottom w:type="dxa" w:w="0"/>
            <w:right w:type="dxa" w:w="0"/>
          </w:tcMar>
        </w:tcPr>
        <w:p>
          <w:pPr>
            <w:spacing w:before="0" w:after="0"/>
            <w:jc w:val="right"/>
          </w:pPr>
          <w:r>
            <w:rPr>
              <w:rFonts w:ascii="Georgia" w:cs="Georgia" w:eastAsia="Georgia" w:hAnsi="Georgia"/>
              <w:color w:val="566573"/>
              <w:sz w:val="17"/>
              <w:szCs w:val="17"/>
            </w:rPr>
            <w:t xml:space="preserve">Page </w:t>
          </w:r>
          <w:r>
            <w:rPr>
              <w:rFonts w:ascii="Georgia" w:cs="Georgia" w:eastAsia="Georgia" w:hAnsi="Georgia"/>
              <w:color w:val="566573"/>
              <w:sz w:val="17"/>
              <w:szCs w:val="17"/>
            </w:rPr>
            <w:fldChar w:fldCharType="begin"/>
            <w:instrText xml:space="preserve">PAGE</w:instrText>
            <w:fldChar w:fldCharType="separate"/>
            <w:fldChar w:fldCharType="end"/>
          </w:r>
          <w:r>
            <w:rPr>
              <w:rFonts w:ascii="Georgia" w:cs="Georgia" w:eastAsia="Georgia" w:hAnsi="Georgia"/>
              <w:color w:val="566573"/>
              <w:sz w:val="17"/>
              <w:szCs w:val="17"/>
            </w:rPr>
            <w:t xml:space="preserve"> of </w:t>
          </w:r>
          <w:r>
            <w:rPr>
              <w:rFonts w:ascii="Georgia" w:cs="Georgia" w:eastAsia="Georgia" w:hAnsi="Georgia"/>
              <w:color w:val="566573"/>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200"/>
      <w:gridCol w:w="3640"/>
    </w:tblGrid>
    <w:tr>
      <w:tc>
        <w:tcPr>
          <w:tcW w:type="dxa" w:w="6200"/>
          <w:tcBorders>
            <w:top w:val="none" w:color="FFFFFF" w:sz="0"/>
            <w:left w:val="none" w:color="FFFFFF" w:sz="0"/>
            <w:bottom w:val="single" w:color="C0392B" w:sz="3"/>
            <w:right w:val="none" w:color="FFFFFF" w:sz="0"/>
          </w:tcBorders>
          <w:shd w:fill="FFFFFF" w:val="clear"/>
          <w:tcMar>
            <w:top w:type="dxa" w:w="0"/>
            <w:left w:type="dxa" w:w="0"/>
            <w:bottom w:type="dxa" w:w="60"/>
            <w:right w:type="dxa" w:w="0"/>
          </w:tcMar>
        </w:tcPr>
        <w:p>
          <w:pPr>
            <w:spacing w:before="0" w:after="0"/>
          </w:pPr>
          <w:r>
            <w:rPr>
              <w:rFonts w:ascii="Georgia" w:cs="Georgia" w:eastAsia="Georgia" w:hAnsi="Georgia"/>
              <w:b/>
              <w:bCs/>
              <w:color w:val="C0392B"/>
              <w:sz w:val="18"/>
              <w:szCs w:val="18"/>
            </w:rPr>
            <w:t xml:space="preserve">SpanForge</w:t>
          </w:r>
          <w:r>
            <w:rPr>
              <w:rFonts w:ascii="Georgia" w:cs="Georgia" w:eastAsia="Georgia" w:hAnsi="Georgia"/>
              <w:color w:val="566573"/>
              <w:sz w:val="18"/>
              <w:szCs w:val="18"/>
            </w:rPr>
            <w:t xml:space="preserve">  —  AI Organisational Readiness Assessment v2.0</w:t>
          </w:r>
        </w:p>
      </w:tc>
      <w:tc>
        <w:tcPr>
          <w:tcW w:type="dxa" w:w="3640"/>
          <w:tcBorders>
            <w:top w:val="none" w:color="FFFFFF" w:sz="0"/>
            <w:left w:val="none" w:color="FFFFFF" w:sz="0"/>
            <w:bottom w:val="single" w:color="C0392B" w:sz="3"/>
            <w:right w:val="none" w:color="FFFFFF" w:sz="0"/>
          </w:tcBorders>
          <w:shd w:fill="FFFFFF" w:val="clear"/>
          <w:tcMar>
            <w:top w:type="dxa" w:w="0"/>
            <w:left w:type="dxa" w:w="0"/>
            <w:bottom w:type="dxa" w:w="60"/>
            <w:right w:type="dxa" w:w="0"/>
          </w:tcMar>
        </w:tcPr>
        <w:p>
          <w:pPr>
            <w:spacing w:before="0" w:after="0"/>
            <w:jc w:val="right"/>
          </w:pPr>
          <w:r>
            <w:rPr>
              <w:rFonts w:ascii="Georgia" w:cs="Georgia" w:eastAsia="Georgia" w:hAnsi="Georgia"/>
              <w:color w:val="566573"/>
              <w:sz w:val="18"/>
              <w:szCs w:val="18"/>
            </w:rPr>
            <w:t xml:space="preserve">Discover Phase  |  getspanforge.com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2026-03-29T07:07:11.321Z</dcterms:created>
  <dcterms:modified xsi:type="dcterms:W3CDTF">2026-03-29T07:07:11.323Z</dcterms:modified>
</cp:coreProperties>
</file>

<file path=docProps/custom.xml><?xml version="1.0" encoding="utf-8"?>
<Properties xmlns="http://schemas.openxmlformats.org/officeDocument/2006/custom-properties" xmlns:vt="http://schemas.openxmlformats.org/officeDocument/2006/docPropsVTypes"/>
</file>