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r>
        <w:rPr>
          <w:rFonts w:ascii="Georgia" w:cs="Georgia" w:eastAsia="Georgia" w:hAnsi="Georgia"/>
          <w:color w:val="2C3E50"/>
          <w:sz w:val="22"/>
          <w:szCs w:val="22"/>
        </w:rPr>
        <w:t xml:space="preserve"/>
      </w:r>
    </w:p>
    <w:p>
      <w:pPr>
        <w:spacing w:before="0" w:after="60"/>
      </w:pPr>
      <w:r>
        <w:rPr>
          <w:rFonts w:ascii="Georgia" w:cs="Georgia" w:eastAsia="Georgia" w:hAnsi="Georgia"/>
          <w:b/>
          <w:bCs/>
          <w:color w:val="1C2833"/>
          <w:sz w:val="64"/>
          <w:szCs w:val="64"/>
        </w:rPr>
        <w:t xml:space="preserve">AI Organisational</w:t>
      </w:r>
    </w:p>
    <w:p>
      <w:pPr>
        <w:spacing w:before="0" w:after="80"/>
      </w:pPr>
      <w:r>
        <w:rPr>
          <w:rFonts w:ascii="Georgia" w:cs="Georgia" w:eastAsia="Georgia" w:hAnsi="Georgia"/>
          <w:b/>
          <w:bCs/>
          <w:color w:val="C0392B"/>
          <w:sz w:val="64"/>
          <w:szCs w:val="64"/>
        </w:rPr>
        <w:t xml:space="preserve">Readiness Assessment</w:t>
      </w:r>
    </w:p>
    <w:p>
      <w:pPr>
        <w:spacing w:before="0" w:after="360"/>
      </w:pPr>
      <w:r>
        <w:rPr>
          <w:rFonts w:ascii="Georgia" w:cs="Georgia" w:eastAsia="Georgia" w:hAnsi="Georgia"/>
          <w:i/>
          <w:iCs/>
          <w:color w:val="566573"/>
          <w:sz w:val="24"/>
          <w:szCs w:val="24"/>
        </w:rPr>
        <w:t xml:space="preserve">Is your organisation ready to build, deploy, and govern AI at enterprise scale?</w:t>
      </w:r>
    </w:p>
    <w:p>
      <w:pPr>
        <w:pBdr>
          <w:bottom w:val="single" w:color="C0392B" w:sz="3" w:space="1"/>
        </w:pBdr>
        <w:spacing w:before="0" w:after="0"/>
      </w:pPr>
      <w:r>
        <w:rPr>
          <w:rFonts w:ascii="Georgia" w:cs="Georgia" w:eastAsia="Georgia" w:hAnsi="Georgia"/>
          <w:color w:val="2C3E50"/>
          <w:sz w:val="22"/>
          <w:szCs w:val="22"/>
        </w:rPr>
        <w:t xml:space="preserve"/>
      </w:r>
    </w:p>
    <w:p>
      <w:pPr>
        <w:spacing w:before="160" w:after="0"/>
      </w:pPr>
      <w:r>
        <w:rPr>
          <w:rFonts w:ascii="Georgia" w:cs="Georgia" w:eastAsia="Georgia" w:hAnsi="Georgia"/>
          <w:color w:val="2C3E50"/>
          <w:sz w:val="22"/>
          <w:szCs w:val="22"/>
        </w:rPr>
        <w:t xml:space="preserve"/>
      </w:r>
    </w:p>
    <w:p>
      <w:pPr>
        <w:spacing w:before="80" w:after="60"/>
      </w:pPr>
      <w:r>
        <w:rPr>
          <w:rFonts w:ascii="Georgia" w:cs="Georgia" w:eastAsia="Georgia" w:hAnsi="Georgia"/>
          <w:color w:val="2C3E50"/>
          <w:sz w:val="22"/>
          <w:szCs w:val="22"/>
        </w:rPr>
        <w:t xml:space="preserve">This assessment measures organisational readiness — not whether a specific project is viable (that is the AI Project Qualification Assessment), but whether your organisation has the foundational capabilities to build and sustain AI at all. Complete this assessment before committing to any significant AI investment. It takes 30–45 minutes when completed honestly by a cross-functional team.</w:t>
      </w:r>
    </w:p>
    <w:p>
      <w:pPr>
        <w:spacing w:before="8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E5E7E9" w:sz="1"/>
              <w:bottom w:val="single" w:color="E5E7E9" w:sz="1"/>
              <w:right w:val="single" w:color="E5E7E9" w:sz="1"/>
            </w:tcBorders>
            <w:shd w:fill="F4F6F7" w:val="clear"/>
            <w:tcMar>
              <w:top w:type="dxa" w:w="160"/>
              <w:left w:type="dxa" w:w="220"/>
              <w:bottom w:type="dxa" w:w="160"/>
              <w:right w:type="dxa" w:w="220"/>
            </w:tcMar>
          </w:tcPr>
          <w:p>
            <w:pPr>
              <w:spacing w:before="0" w:after="80"/>
            </w:pPr>
            <w:r>
              <w:rPr>
                <w:rFonts w:ascii="Georgia" w:cs="Georgia" w:eastAsia="Georgia" w:hAnsi="Georgia"/>
                <w:b/>
                <w:bCs/>
                <w:color w:val="C0392B"/>
                <w:sz w:val="21"/>
                <w:szCs w:val="21"/>
              </w:rPr>
              <w:t xml:space="preserve">How to use this assessment</w:t>
            </w:r>
          </w:p>
          <w:p>
            <w:pPr>
              <w:spacing w:before="0" w:after="0"/>
            </w:pPr>
            <w:r>
              <w:rPr>
                <w:rFonts w:ascii="Georgia" w:cs="Georgia" w:eastAsia="Georgia" w:hAnsi="Georgia"/>
                <w:color w:val="2C3E50"/>
                <w:sz w:val="21"/>
                <w:szCs w:val="21"/>
              </w:rPr>
              <w:t xml:space="preserve">Score each question from 1 to 5 using the scoring guide within each card. Do not score based on aspirations or plans — score based on what is demonstrably true today.
Below 60:   Not ready. Address foundational gaps before any AI investment.
60 to 90:   Emerging. Targeted readiness building required in the low-scoring dimensions.
90 to 120:  Developing. AI projects can begin in the stronger dimensions with mitigation plans for weaker ones.
120 to 150: Ready. The organisation has the foundations to pursue AI with confidence.
The Discover Gate requires a minimum score of 90/150 to progress, with no dimension scoring below 12/25.</w:t>
            </w:r>
          </w:p>
        </w:tc>
      </w:tr>
    </w:tbl>
    <w:p>
      <w:pPr>
        <w:spacing w:before="12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E5E7E9" w:sz="1"/>
              <w:bottom w:val="single" w:color="E5E7E9" w:sz="1"/>
              <w:right w:val="single" w:color="E5E7E9" w:sz="1"/>
            </w:tcBorders>
            <w:shd w:fill="F4F6F7" w:val="clear"/>
            <w:tcMar>
              <w:top w:type="dxa" w:w="160"/>
              <w:left w:type="dxa" w:w="220"/>
              <w:bottom w:type="dxa" w:w="160"/>
              <w:right w:type="dxa" w:w="220"/>
            </w:tcMar>
          </w:tcPr>
          <w:p>
            <w:pPr>
              <w:spacing w:before="0" w:after="80"/>
            </w:pPr>
            <w:r>
              <w:rPr>
                <w:rFonts w:ascii="Georgia" w:cs="Georgia" w:eastAsia="Georgia" w:hAnsi="Georgia"/>
                <w:b/>
                <w:bCs/>
                <w:color w:val="1A5276"/>
                <w:sz w:val="21"/>
                <w:szCs w:val="21"/>
              </w:rPr>
              <w:t xml:space="preserve">How this differs from the AI Project Qualification Assessment</w:t>
            </w:r>
          </w:p>
          <w:p>
            <w:pPr>
              <w:spacing w:before="0" w:after="0"/>
            </w:pPr>
            <w:r>
              <w:rPr>
                <w:rFonts w:ascii="Georgia" w:cs="Georgia" w:eastAsia="Georgia" w:hAnsi="Georgia"/>
                <w:color w:val="2C3E50"/>
                <w:sz w:val="21"/>
                <w:szCs w:val="21"/>
              </w:rPr>
              <w:t xml:space="preserve">These two instruments are used in sequence, not interchangeably.
Step 1 — AI Organisational Readiness Assessment (this document): Does the organisation have the strategy, data, infrastructure, talent, governance, and culture to build AI at all?
Step 2 — AI Project Qualification Assessment: Is this specific business problem a good candidate for an AI solution?
A high readiness score does not mean every project is viable. A viable project does not guarantee organisational readiness. Both assessments must be completed before the Design phase begins.</w:t>
            </w:r>
          </w:p>
        </w:tc>
      </w:tr>
    </w:tbl>
    <w:p>
      <w:pPr>
        <w:spacing w:before="12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1800"/>
        <w:gridCol w:w="2760"/>
        <w:gridCol w:w="1400"/>
        <w:gridCol w:w="1200"/>
        <w:gridCol w:w="1400"/>
      </w:tblGrid>
      <w:tr>
        <w:tc>
          <w:tcPr>
            <w:tcW w:type="dxa" w:w="4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w:t>
            </w:r>
          </w:p>
        </w:tc>
        <w:tc>
          <w:tcPr>
            <w:tcW w:type="dxa" w:w="4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w:t>
            </w:r>
          </w:p>
        </w:tc>
        <w:tc>
          <w:tcPr>
            <w:tcW w:type="dxa" w:w="18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Dimension</w:t>
            </w:r>
          </w:p>
        </w:tc>
        <w:tc>
          <w:tcPr>
            <w:tcW w:type="dxa" w:w="276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What it measures</w:t>
            </w:r>
          </w:p>
        </w:tc>
        <w:tc>
          <w:tcPr>
            <w:tcW w:type="dxa" w:w="14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Questions</w:t>
            </w:r>
          </w:p>
        </w:tc>
        <w:tc>
          <w:tcPr>
            <w:tcW w:type="dxa" w:w="12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Max</w:t>
            </w:r>
          </w:p>
        </w:tc>
        <w:tc>
          <w:tcPr>
            <w:tcW w:type="dxa" w:w="14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Weight</w:t>
            </w:r>
          </w:p>
        </w:tc>
      </w:tr>
      <w:tr>
        <w:tc>
          <w:tcPr>
            <w:tcW w:type="dxa" w:w="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C0392B"/>
                <w:sz w:val="20"/>
                <w:szCs w:val="20"/>
              </w:rPr>
              <w:t xml:space="preserve">1</w:t>
            </w:r>
          </w:p>
        </w:tc>
        <w:tc>
          <w:tcPr>
            <w:tcW w:type="dxa" w:w="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2C3E50"/>
                <w:sz w:val="20"/>
                <w:szCs w:val="20"/>
              </w:rPr>
              <w:t xml:space="preserve">01</w:t>
            </w:r>
          </w:p>
        </w:tc>
        <w:tc>
          <w:tcPr>
            <w:tcW w:type="dxa" w:w="18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Strategy</w:t>
            </w:r>
          </w:p>
        </w:tc>
        <w:tc>
          <w:tcPr>
            <w:tcW w:type="dxa" w:w="276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Does leadership have a coherent AI strategy?</w:t>
            </w:r>
          </w:p>
        </w:tc>
        <w:tc>
          <w:tcPr>
            <w:tcW w:type="dxa" w:w="1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Q1–Q5</w:t>
            </w:r>
          </w:p>
        </w:tc>
        <w:tc>
          <w:tcPr>
            <w:tcW w:type="dxa" w:w="12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25</w:t>
            </w:r>
          </w:p>
        </w:tc>
        <w:tc>
          <w:tcPr>
            <w:tcW w:type="dxa" w:w="1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17%</w:t>
            </w:r>
          </w:p>
        </w:tc>
      </w:tr>
      <w:tr>
        <w:tc>
          <w:tcPr>
            <w:tcW w:type="dxa" w:w="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C0392B"/>
                <w:sz w:val="20"/>
                <w:szCs w:val="20"/>
              </w:rPr>
              <w:t xml:space="preserve">2</w:t>
            </w:r>
          </w:p>
        </w:tc>
        <w:tc>
          <w:tcPr>
            <w:tcW w:type="dxa" w:w="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2C3E50"/>
                <w:sz w:val="20"/>
                <w:szCs w:val="20"/>
              </w:rPr>
              <w:t xml:space="preserve">02</w:t>
            </w:r>
          </w:p>
        </w:tc>
        <w:tc>
          <w:tcPr>
            <w:tcW w:type="dxa" w:w="1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Data</w:t>
            </w:r>
          </w:p>
        </w:tc>
        <w:tc>
          <w:tcPr>
            <w:tcW w:type="dxa" w:w="276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Is your data ready to power AI systems?</w:t>
            </w:r>
          </w:p>
        </w:tc>
        <w:tc>
          <w:tcPr>
            <w:tcW w:type="dxa" w:w="1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Q6–Q10</w:t>
            </w:r>
          </w:p>
        </w:tc>
        <w:tc>
          <w:tcPr>
            <w:tcW w:type="dxa" w:w="12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25</w:t>
            </w:r>
          </w:p>
        </w:tc>
        <w:tc>
          <w:tcPr>
            <w:tcW w:type="dxa" w:w="1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17%</w:t>
            </w:r>
          </w:p>
        </w:tc>
      </w:tr>
      <w:tr>
        <w:tc>
          <w:tcPr>
            <w:tcW w:type="dxa" w:w="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C0392B"/>
                <w:sz w:val="20"/>
                <w:szCs w:val="20"/>
              </w:rPr>
              <w:t xml:space="preserve">3</w:t>
            </w:r>
          </w:p>
        </w:tc>
        <w:tc>
          <w:tcPr>
            <w:tcW w:type="dxa" w:w="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2C3E50"/>
                <w:sz w:val="20"/>
                <w:szCs w:val="20"/>
              </w:rPr>
              <w:t xml:space="preserve">03</w:t>
            </w:r>
          </w:p>
        </w:tc>
        <w:tc>
          <w:tcPr>
            <w:tcW w:type="dxa" w:w="18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Infrastructure</w:t>
            </w:r>
          </w:p>
        </w:tc>
        <w:tc>
          <w:tcPr>
            <w:tcW w:type="dxa" w:w="276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Can your systems support AI at production scale?</w:t>
            </w:r>
          </w:p>
        </w:tc>
        <w:tc>
          <w:tcPr>
            <w:tcW w:type="dxa" w:w="1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Q11–Q15</w:t>
            </w:r>
          </w:p>
        </w:tc>
        <w:tc>
          <w:tcPr>
            <w:tcW w:type="dxa" w:w="12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25</w:t>
            </w:r>
          </w:p>
        </w:tc>
        <w:tc>
          <w:tcPr>
            <w:tcW w:type="dxa" w:w="1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17%</w:t>
            </w:r>
          </w:p>
        </w:tc>
      </w:tr>
      <w:tr>
        <w:tc>
          <w:tcPr>
            <w:tcW w:type="dxa" w:w="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C0392B"/>
                <w:sz w:val="20"/>
                <w:szCs w:val="20"/>
              </w:rPr>
              <w:t xml:space="preserve">4</w:t>
            </w:r>
          </w:p>
        </w:tc>
        <w:tc>
          <w:tcPr>
            <w:tcW w:type="dxa" w:w="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2C3E50"/>
                <w:sz w:val="20"/>
                <w:szCs w:val="20"/>
              </w:rPr>
              <w:t xml:space="preserve">04</w:t>
            </w:r>
          </w:p>
        </w:tc>
        <w:tc>
          <w:tcPr>
            <w:tcW w:type="dxa" w:w="1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Talent</w:t>
            </w:r>
          </w:p>
        </w:tc>
        <w:tc>
          <w:tcPr>
            <w:tcW w:type="dxa" w:w="276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Do you have the skills to build, run, and govern AI?</w:t>
            </w:r>
          </w:p>
        </w:tc>
        <w:tc>
          <w:tcPr>
            <w:tcW w:type="dxa" w:w="1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Q16–Q20</w:t>
            </w:r>
          </w:p>
        </w:tc>
        <w:tc>
          <w:tcPr>
            <w:tcW w:type="dxa" w:w="12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25</w:t>
            </w:r>
          </w:p>
        </w:tc>
        <w:tc>
          <w:tcPr>
            <w:tcW w:type="dxa" w:w="1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17%</w:t>
            </w:r>
          </w:p>
        </w:tc>
      </w:tr>
      <w:tr>
        <w:tc>
          <w:tcPr>
            <w:tcW w:type="dxa" w:w="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C0392B"/>
                <w:sz w:val="20"/>
                <w:szCs w:val="20"/>
              </w:rPr>
              <w:t xml:space="preserve">5</w:t>
            </w:r>
          </w:p>
        </w:tc>
        <w:tc>
          <w:tcPr>
            <w:tcW w:type="dxa" w:w="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2C3E50"/>
                <w:sz w:val="20"/>
                <w:szCs w:val="20"/>
              </w:rPr>
              <w:t xml:space="preserve">05</w:t>
            </w:r>
          </w:p>
        </w:tc>
        <w:tc>
          <w:tcPr>
            <w:tcW w:type="dxa" w:w="18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Governance</w:t>
            </w:r>
          </w:p>
        </w:tc>
        <w:tc>
          <w:tcPr>
            <w:tcW w:type="dxa" w:w="276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Can you govern AI responsibly and meet regulatory obligations?</w:t>
            </w:r>
          </w:p>
        </w:tc>
        <w:tc>
          <w:tcPr>
            <w:tcW w:type="dxa" w:w="1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Q21–Q25</w:t>
            </w:r>
          </w:p>
        </w:tc>
        <w:tc>
          <w:tcPr>
            <w:tcW w:type="dxa" w:w="12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25</w:t>
            </w:r>
          </w:p>
        </w:tc>
        <w:tc>
          <w:tcPr>
            <w:tcW w:type="dxa" w:w="1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17%</w:t>
            </w:r>
          </w:p>
        </w:tc>
      </w:tr>
      <w:tr>
        <w:tc>
          <w:tcPr>
            <w:tcW w:type="dxa" w:w="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C0392B"/>
                <w:sz w:val="20"/>
                <w:szCs w:val="20"/>
              </w:rPr>
              <w:t xml:space="preserve">6</w:t>
            </w:r>
          </w:p>
        </w:tc>
        <w:tc>
          <w:tcPr>
            <w:tcW w:type="dxa" w:w="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2C3E50"/>
                <w:sz w:val="20"/>
                <w:szCs w:val="20"/>
              </w:rPr>
              <w:t xml:space="preserve">06</w:t>
            </w:r>
          </w:p>
        </w:tc>
        <w:tc>
          <w:tcPr>
            <w:tcW w:type="dxa" w:w="1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Culture</w:t>
            </w:r>
          </w:p>
        </w:tc>
        <w:tc>
          <w:tcPr>
            <w:tcW w:type="dxa" w:w="276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Will your organisation adopt and sustain AI change?</w:t>
            </w:r>
          </w:p>
        </w:tc>
        <w:tc>
          <w:tcPr>
            <w:tcW w:type="dxa" w:w="1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Q26–Q30</w:t>
            </w:r>
          </w:p>
        </w:tc>
        <w:tc>
          <w:tcPr>
            <w:tcW w:type="dxa" w:w="12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25</w:t>
            </w:r>
          </w:p>
        </w:tc>
        <w:tc>
          <w:tcPr>
            <w:tcW w:type="dxa" w:w="1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2C3E50"/>
                <w:sz w:val="19"/>
                <w:szCs w:val="19"/>
              </w:rPr>
              <w:t xml:space="preserve">17%</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200"/>
              <w:left w:type="dxa" w:w="280"/>
              <w:bottom w:type="dxa" w:w="200"/>
              <w:right w:type="dxa" w:w="280"/>
            </w:tcMar>
          </w:tcPr>
          <w:p>
            <w:pPr>
              <w:spacing w:before="0" w:after="80"/>
            </w:pPr>
            <w:r>
              <w:rPr>
                <w:rFonts w:ascii="Georgia" w:cs="Georgia" w:eastAsia="Georgia" w:hAnsi="Georgia"/>
                <w:b/>
                <w:bCs/>
                <w:color w:val="FFFFFF"/>
                <w:sz w:val="32"/>
                <w:szCs w:val="32"/>
              </w:rPr>
              <w:t xml:space="preserve">Dimension 1  —  01  STRATEGY</w:t>
            </w:r>
          </w:p>
          <w:p>
            <w:pPr>
              <w:spacing w:before="0" w:after="0"/>
            </w:pPr>
            <w:r>
              <w:rPr>
                <w:rFonts w:ascii="Georgia" w:cs="Georgia" w:eastAsia="Georgia" w:hAnsi="Georgia"/>
                <w:i/>
                <w:iCs/>
                <w:color w:val="FFFFFF"/>
                <w:sz w:val="20"/>
                <w:szCs w:val="20"/>
              </w:rPr>
              <w:t xml:space="preserve">Does leadership have a coherent, funded, and committed AI strategy?</w:t>
            </w:r>
          </w:p>
        </w:tc>
      </w:tr>
    </w:tbl>
    <w:p>
      <w:pPr>
        <w:spacing w:before="100" w:after="0"/>
      </w:pPr>
      <w:r>
        <w:rPr>
          <w:rFonts w:ascii="Georgia" w:cs="Georgia" w:eastAsia="Georgia" w:hAnsi="Georgia"/>
          <w:color w:val="2C3E50"/>
          <w:sz w:val="22"/>
          <w:szCs w:val="22"/>
        </w:rPr>
        <w:t xml:space="preserve"/>
      </w:r>
    </w:p>
    <w:p>
      <w:pPr>
        <w:spacing w:before="80" w:after="60"/>
      </w:pPr>
      <w:r>
        <w:rPr>
          <w:rFonts w:ascii="Georgia" w:cs="Georgia" w:eastAsia="Georgia" w:hAnsi="Georgia"/>
          <w:color w:val="2C3E50"/>
          <w:sz w:val="22"/>
          <w:szCs w:val="22"/>
        </w:rPr>
        <w:t xml:space="preserve">AI projects that lack strategic alignment at the top die at the first quarterly reforecast. Strategy readiness is not about having an AI strategy document — it is about whether leadership has made concrete, funded decisions about where AI fits, what success looks like, and who is accountable for delivering it. McKinsey's 2025 State of AI survey found that organisations with a board-level AI strategy commitment were 2.4x more likely to report significant financial returns.</w:t>
      </w:r>
    </w:p>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Q1</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Has the board or executive team defined a specific AI strategy — not just expressed AI ambition?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There is a meaningful difference between an executive team that says 'AI is a priority' in an all-hands and one that has made specific decisions: which business functions will be transformed by AI, what the investment envelope is, what the 12-month milestones are, and who is accountable for delivering them. Vague ambition without specific decisions is not a strategy. It is a statement of aspiration that provides no operational direction and will not protect AI projects when budget pressure arrives.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No AI strategy exists beyond general statements of intent. The executive team supports AI in principle but has made no specific investment decisions, appointed no accountable leader, and set no measurable goals.</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An AI strategy exists with named owners and some investment commitments, but it lacks specific milestones, measurable outcomes, or a clear link to business priorities.</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The board has approved a specific AI strategy with defined investment envelope, named executive owner, measurable 12-month targets, and a review cadence. The strategy distinguishes between AI experiments and strategic AI bets.</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Q2</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there a dedicated AI budget — separate from general IT or innovation budgets?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AI investment that is commingled with general IT or innovation budgets is the first cut when cost pressure hits. A dedicated AI budget signals that leadership has made a specific commitment to AI as a strategic capability — not a discretionary project. It also forces budget owners to account for the full lifecycle cost of AI, not just the initial build, because the ongoing operational costs (monitoring, retraining, compliance) must be planned for. Organisations without dedicated AI budgets consistently underinvest in the infrastructure, tooling, and talent that make AI work at scale.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AI projects are funded ad-hoc from departmental or IT budgets. There is no central AI investment plan and funding must be secured project by project through normal budget approval processes.</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partial AI budget exists, either as a ring-fenced innovation fund or within the IT budget, but it does not cover the full lifecycle cost of AI systems or the platform infrastructure needed to run multiple AI projects.</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dedicated AI budget exists, approved at board level, that covers: strategic AI programmes, platform infrastructure, talent, tooling, governance, and ongoing operations. The budget is reviewed annually against a strategic roadmap.</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Q3</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Has the organisation identified and prioritised the 3–5 business problems most suited for 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One of the most common strategic failures in enterprise AI is spreading investment too thinly across too many concurrent initiatives. The result is a portfolio of underfunded, understaffed experiments that each fail to reach production. Organisations that succeed with AI identify a small number of high-value, high-feasibility use cases and go deep on them — funding them fully, staffing them properly, and measuring them rigorously. The Use Case Prioritisation Matrix in SpanForge's Discover phase exists precisely to support this discipline.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The organisation has not formally prioritised AI use cases. Multiple teams are pursuing independent AI experiments without a central view of the portfolio, duplicating effort and competing for the same talent and infrastructure.</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use case prioritisation exercise has been started but not completed. Some use cases have been identified but have not been evaluated against consistent criteria, funded, or assigned to accountable owners.</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The organisation has completed a formal use case prioritisation exercise. The top 3–5 use cases are documented with business case, feasibility assessment, data readiness indicator, and named owner. The portfolio is reviewed quarterly.</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Q4</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Does the AI strategy align with and serve the broader business strategy — rather than existing as a separate initiative?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AI initiatives that are disconnected from the business strategy generate technology for its own sake. They produce systems that work technically but are not embedded in the workflows, decisions, or value chains that the business depends on. The strongest predictor of AI value creation is not technical sophistication — it is strategic alignment. McKinsey found that organisations redesigning end-to-end workflows before selecting AI techniques were twice as likely to report significant returns. Workflow redesign only happens when AI is embedded in business strategy, not adjacent to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The AI strategy is a technology initiative owned by the IT or data team, with limited visibility or involvement from business units. Business leaders see AI as an IT project rather than a business transformation lever.</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The AI strategy references business priorities but the connection is not operationalised. Business units are aware of AI initiatives but have not redesigned their processes to embed AI into core workflows.</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The AI strategy is co-owned by business and technology leadership. Each strategic AI programme has a business owner who has redesigned or committed to redesign the workflow the AI will operate in. AI is embedded in the business planning cycle.</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Q5</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there a clear governance structure for making AI investment decisions — including stopping projects that are not working?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Organisations that cannot stop failing AI projects waste significantly more money than those that never started them. A governance structure for AI investment decisions requires: a defined decision-making body, clear criteria for progressing or stopping projects at each lifecycle gate, a portfolio view of all active AI investments, and the authority to reallocate resources from underperforming projects to higher-value opportunities. Without this structure, failing projects accumulate sunk cost arguments and consume resources indefinitely.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AI investment decisions are made informally or by whoever has budget authority at the time. There is no portfolio view, no gate criteria, and no mechanism to stop projects that are not delivering. Sunk cost arguments routinely override objective assessments.</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Some governance exists — perhaps an AI steering committee — but it lacks defined gate criteria, does not review the full portfolio, or does not have the authority to stop projects that are underperforming.</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functioning AI governance structure exists with defined membership, meeting cadence, documented gate criteria for each lifecycle phase, a full portfolio view, and demonstrated authority to stop or reprioritise projects based on objective performance data.</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7A65" w:val="clear"/>
            <w:tcMar>
              <w:top w:type="dxa" w:w="200"/>
              <w:left w:type="dxa" w:w="280"/>
              <w:bottom w:type="dxa" w:w="200"/>
              <w:right w:type="dxa" w:w="280"/>
            </w:tcMar>
          </w:tcPr>
          <w:p>
            <w:pPr>
              <w:spacing w:before="0" w:after="80"/>
            </w:pPr>
            <w:r>
              <w:rPr>
                <w:rFonts w:ascii="Georgia" w:cs="Georgia" w:eastAsia="Georgia" w:hAnsi="Georgia"/>
                <w:b/>
                <w:bCs/>
                <w:color w:val="FFFFFF"/>
                <w:sz w:val="32"/>
                <w:szCs w:val="32"/>
              </w:rPr>
              <w:t xml:space="preserve">Dimension 2  —  02  DATA</w:t>
            </w:r>
          </w:p>
          <w:p>
            <w:pPr>
              <w:spacing w:before="0" w:after="0"/>
            </w:pPr>
            <w:r>
              <w:rPr>
                <w:rFonts w:ascii="Georgia" w:cs="Georgia" w:eastAsia="Georgia" w:hAnsi="Georgia"/>
                <w:i/>
                <w:iCs/>
                <w:color w:val="FFFFFF"/>
                <w:sz w:val="20"/>
                <w:szCs w:val="20"/>
              </w:rPr>
              <w:t xml:space="preserve">Is your data ready to power AI systems at the quality and scale required?</w:t>
            </w:r>
          </w:p>
        </w:tc>
      </w:tr>
    </w:tbl>
    <w:p>
      <w:pPr>
        <w:spacing w:before="100" w:after="0"/>
      </w:pPr>
      <w:r>
        <w:rPr>
          <w:rFonts w:ascii="Georgia" w:cs="Georgia" w:eastAsia="Georgia" w:hAnsi="Georgia"/>
          <w:color w:val="2C3E50"/>
          <w:sz w:val="22"/>
          <w:szCs w:val="22"/>
        </w:rPr>
        <w:t xml:space="preserve"/>
      </w:r>
    </w:p>
    <w:p>
      <w:pPr>
        <w:spacing w:before="80" w:after="60"/>
      </w:pPr>
      <w:r>
        <w:rPr>
          <w:rFonts w:ascii="Georgia" w:cs="Georgia" w:eastAsia="Georgia" w:hAnsi="Georgia"/>
          <w:color w:val="2C3E50"/>
          <w:sz w:val="22"/>
          <w:szCs w:val="22"/>
        </w:rPr>
        <w:t xml:space="preserve">The Informatica CDO Insights 2025 survey found that data quality and readiness is the #1 obstacle to AI success, cited by 43% of organisations. Winning teams invert the typical ratio, spending 50–70% of AI project time on data readiness. These five questions assess whether the organisation has the data foundations that every AI project will depend on.</w:t>
      </w:r>
    </w:p>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Q6</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Does the organisation have a clear inventory of its data assets — what exists, where it lives, and who owns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You cannot build AI on data you cannot find. A data asset inventory is the foundational precondition for any AI programme — without it, every project begins with a data discovery exercise that routinely consumes 30–60% of the total project timeline. The inventory must cover: what data exists, its location and format, its owner and steward, its freshness, its quality characteristics, and its consent and compliance status. Organisations without this inventory will consistently underestimate the data readiness of AI projects.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No systematic data inventory exists. Teams discover data assets on a project-by-project basis through tribal knowledge and manual investigation. There is no central catalogue and no consistent ownership model.</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partial data inventory exists, covering the most critical data domains, but it is incomplete, not maintained, or not accessible to the teams who need it. Ownership is inconsistently defined.</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maintained data catalogue covers all material data assets with documented location, format, owner, steward, quality rating, consent status, and access method. The catalogue is integrated into project kickoff processes so every AI project starts with a data inventory review.</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Q7</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data quality actively managed — with defined standards, measurement, and accountability?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Data quality does not improve on its own. Without active management — defined standards, regular measurement, named stewards, and accountability for quality issues — data quality degrades over time as systems change, processes evolve, and ownership shifts. For AI, the consequences of poor data quality are amplified: a model trained on inaccurate data will produce inaccurate outputs at scale, with the confidence of a well-trained system. The five dimensions of AI data quality are accuracy, completeness, consistency, timeliness, and AI-fitness — the degree to which data was collected in a way that is representative of the problem being solved.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Data quality is not systematically managed. Quality issues are discovered reactively when problems surface in reports or user complaints. There are no defined quality standards, no regular measurement, and no named accountability for data quality.</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Some data quality management exists — perhaps for critical financial or customer data — but it is not comprehensive, not connected to AI readiness requirements, and not systematically measured across the data estate.</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Defined data quality standards exist across all material data domains with named stewards accountable for each domain. Quality is measured regularly, reported to leadership, and connected to AI project readiness gates. Data quality issues have a defined remediation process and SLA.</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Q8</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there a clear data governance framework — including policies for data access, usage, retention, and consent?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Data governance for AI is more demanding than traditional data governance because AI creates new data processing purposes that must be explicitly governed. The key dimensions are: who can access which data for which purposes, how long data is retained and under what conditions it is deleted, what consent was obtained from data subjects and for what purposes, and how data lineage is tracked so the provenance of training data can be demonstrated to regulators. The EU AI Act and India's DPDP Act both require demonstrable data governance as a precondition for deploying AI systems in regulated contexts.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No formal data governance framework exists. Data access is managed informally, retention policies are undefined or unenforced, and consent tracking is not systematic. The organisation would struggle to demonstrate data governance to a regulator.</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data governance framework exists on paper but is not fully operationalised. Some policies are defined but not consistently enforced. Consent tracking is present for some data sources but not all. Data lineage is not systematically maintained.</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comprehensive data governance framework is operationalised and enforced. Access controls are role-based and auditable. Retention policies are enforced by system controls, not manual process. Consent is tracked at the record level for personal data. Data lineage is maintained and queryable for all material data flows.</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Q9</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Do you have — or can you rapidly build — the data pipelines needed to deliver clean, current data to AI systems in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Data that is clean in a database but cannot be delivered to an AI system in the format, at the speed, and with the freshness required is not usable data. Production AI systems require data pipelines that are reliable, observable, and maintainable — not one-off scripts that break when a source system changes. The most common late-stage AI project failure is discovering that the data pipeline to production is more complex and fragile than the model itself. This question assesses whether the engineering capability and infrastructure for production data pipelines exists before projects commit to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Data pipelines are built ad-hoc for each project using manual processes or fragile scripts. There is no standard tooling, no pipeline monitoring, and no documented ownership. Pipelines frequently break when source systems change.</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Some data pipeline infrastructure exists, but it is inconsistently implemented, partially monitored, and relies on individual expertise rather than documented, maintainable systems. Production-grade pipeline quality is not consistently achieved.</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mature data engineering capability exists with standardised tooling, automated monitoring, documented ownership, and a track record of delivering reliable production data pipelines. New pipelines can be built to production quality within a defined, predictable timeframe.</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Q10</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Has the organisation assessed its data for AI-specific risks — including bias, representativeness, and consent for AI 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Using data to train an AI model introduces risks that do not exist in traditional data usage. Historical data reflects historical biases — training data from past hiring, lending, or medical decisions will encode whatever discrimination was present in those decisions. Training data that is not representative of the full population the model will serve will produce models that work well for some groups and poorly for others. And using personal data for AI training requires a separate legal basis under GDPR and DPDP, beyond the consent obtained for the original collection. Organisations that have not assessed these risks will encounter them at the worst possible time: after the model is deployed.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No AI-specific data risk assessment has been conducted. The organisation uses data for AI training without formal assessment of bias, representativeness, or consent for the training purpose. These risks are assumed to be low without evidence.</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Some awareness of AI data risks exists and has been discussed, but no formal assessment framework is in place. Bias analysis is conducted on a project-by-project basis without a standard methodology. Consent for AI training has not been systematically reviewed.</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An AI-specific data risk assessment framework is in place and applied to all material AI programmes. Bias and representativeness analysis is a standard component of data readiness review. Consent for AI training purposes has been reviewed by legal and data protection teams for all data sources intended for model training.</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84212" w:val="clear"/>
            <w:tcMar>
              <w:top w:type="dxa" w:w="200"/>
              <w:left w:type="dxa" w:w="280"/>
              <w:bottom w:type="dxa" w:w="200"/>
              <w:right w:type="dxa" w:w="280"/>
            </w:tcMar>
          </w:tcPr>
          <w:p>
            <w:pPr>
              <w:spacing w:before="0" w:after="80"/>
            </w:pPr>
            <w:r>
              <w:rPr>
                <w:rFonts w:ascii="Georgia" w:cs="Georgia" w:eastAsia="Georgia" w:hAnsi="Georgia"/>
                <w:b/>
                <w:bCs/>
                <w:color w:val="FFFFFF"/>
                <w:sz w:val="32"/>
                <w:szCs w:val="32"/>
              </w:rPr>
              <w:t xml:space="preserve">Dimension 3  —  03  INFRASTRUCTURE</w:t>
            </w:r>
          </w:p>
          <w:p>
            <w:pPr>
              <w:spacing w:before="0" w:after="0"/>
            </w:pPr>
            <w:r>
              <w:rPr>
                <w:rFonts w:ascii="Georgia" w:cs="Georgia" w:eastAsia="Georgia" w:hAnsi="Georgia"/>
                <w:i/>
                <w:iCs/>
                <w:color w:val="FFFFFF"/>
                <w:sz w:val="20"/>
                <w:szCs w:val="20"/>
              </w:rPr>
              <w:t xml:space="preserve">Can your systems support AI at production scale, speed, and reliability?</w:t>
            </w:r>
          </w:p>
        </w:tc>
      </w:tr>
    </w:tbl>
    <w:p>
      <w:pPr>
        <w:spacing w:before="100" w:after="0"/>
      </w:pPr>
      <w:r>
        <w:rPr>
          <w:rFonts w:ascii="Georgia" w:cs="Georgia" w:eastAsia="Georgia" w:hAnsi="Georgia"/>
          <w:color w:val="2C3E50"/>
          <w:sz w:val="22"/>
          <w:szCs w:val="22"/>
        </w:rPr>
        <w:t xml:space="preserve"/>
      </w:r>
    </w:p>
    <w:p>
      <w:pPr>
        <w:spacing w:before="80" w:after="60"/>
      </w:pPr>
      <w:r>
        <w:rPr>
          <w:rFonts w:ascii="Georgia" w:cs="Georgia" w:eastAsia="Georgia" w:hAnsi="Georgia"/>
          <w:color w:val="2C3E50"/>
          <w:sz w:val="22"/>
          <w:szCs w:val="22"/>
        </w:rPr>
        <w:t xml:space="preserve">Infrastructure failures kill AI projects not in development but in production — when the system is expected to perform reliably at scale and the underlying infrastructure cannot support it. These five questions assess whether the compute, integration, and operational infrastructure required for production AI exists or can be acquired within the project's timeline and budget.</w:t>
      </w:r>
    </w:p>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Q11</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Do you have access to the compute — cloud, on-premise, or hybrid — required for AI model training and inference?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The compute requirements for AI vary enormously by system type. A fine-tuned language model for internal document retrieval may run on a modest cloud instance. A real-time fraud detection model serving millions of transactions per day requires a very different infrastructure. Before committing to AI architecture decisions, the organisation must understand what compute it currently has, what it can access through cloud providers, and what the cost of that compute is relative to the expected value of the AI system. The 2024 State of AI Infrastructure survey found that 74% of companies are dissatisfied with their current GPU scheduling tools, and only 15% achieve greater than 85% GPU utilisation.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No dedicated AI compute infrastructure exists. AI workloads compete with production systems for shared resources. The organisation has not assessed its compute requirements for the AI systems it intends to build.</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Some cloud compute access exists and has been used for AI experiments, but production-grade compute infrastructure — with appropriate scaling, availability, and cost management — has not been provisioned or planned.</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Compute infrastructure for AI is planned and provisioned, with clear understanding of training requirements (GPU/TPU access, memory, storage), inference requirements (latency, throughput, availability), and cost management controls. A cloud spend governance process exists for AI workloads.</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Q12</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Can AI systems be integrated with your existing enterprise systems — CRM, ERP, databases, and APIs — without prohibitive engineering effort?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An AI model that cannot connect to the systems it needs to read from and write to is a research project, not a production system. Enterprise system integration is consistently underestimated in AI project planning. Common blockers include: legacy systems with no API, vendor-locked systems that restrict data access, data residency requirements that prevent cloud-based AI from accessing on-premise data, and integration patterns that require significant custom engineering. This question assesses the integration landscape before it becomes a late-stage project risk.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Enterprise systems are largely legacy with limited API access. Integration requires significant custom engineering or vendor negotiation. AI systems would need to work around these constraints, significantly limiting what can be automated or analysed.</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Key enterprise systems have APIs but integration is complex, inconsistently documented, and requires significant engineering effort for each new connection. A central integration layer or API gateway may exist but does not cover all systems AI would need to access.</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well-documented integration architecture exists with APIs or data feeds available for all material enterprise systems. An API gateway or integration platform manages connections and provides a standardised access pattern for new consumers including AI systems.</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Q13</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there an MLOps capability — tools and processes for deploying, monitoring, and updating AI models in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MLOps is to AI what DevOps is to software: the operational discipline that makes the difference between a model that works in a demo and one that runs reliably in production. Core MLOps capabilities include: model versioning and registry, automated deployment pipelines, production monitoring and alerting, retraining pipelines, and A/B testing infrastructure for model updates. Organisations without MLOps capability will build models that cannot be reliably deployed, cannot be updated without manual intervention, and cannot be monitored for performance degradation.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No MLOps capability exists. Model deployment is manual and ad-hoc. There is no model registry, no automated deployment pipeline, and no production monitoring. Each deployment is a custom engineering exercise.</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Some MLOps tooling exists — perhaps a model registry or a basic CI/CD pipeline for model deployment — but it is not comprehensive. Production monitoring is limited and retraining is manual.</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mature MLOps capability exists covering the full model lifecycle: version control, automated testing, deployment pipelines, production monitoring with alerting, drift detection, retraining pipelines, and rollback capability. The MLOps platform is used consistently across AI projects.</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Q14</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Are your security and privacy controls sufficient for AI systems — including model security and inference-time data protection?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AI systems introduce security risks that traditional security controls are not designed to address: prompt injection attacks (malicious inputs that override model instructions), model inversion attacks (inferring training data from model outputs), adversarial examples (inputs crafted to cause specific misclassifications), and data exfiltration through model outputs. Existing enterprise security frameworks address network, application, and data security — but AI-specific security requires additional controls at the model layer. The EU AI Act's security requirements for high-risk AI systems are more demanding than general cybersecurity standards.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Security controls have not been reviewed for AI-specific risks. The organisation applies its standard application security framework to AI systems without assessing whether it is adequate for the additional attack surface AI creates.</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Some AI security considerations have been raised and partially addressed. Prompt injection risks are understood but controls are not systematic. Data protection at inference time has been reviewed for some systems but not all.</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comprehensive AI security framework is in place covering: prompt injection prevention, model access controls, inference-time data protection, adversarial input detection, and model output monitoring for security anomalies. The security framework has been reviewed against EU AI Act requirements for the relevant risk categories.</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Q15</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Can your infrastructure scale — both up for peak load and down for cost efficiency — without manual intervention?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AI workloads are characteristically spiky: inference demand may be 100x higher at peak than at average. Infrastructure that cannot scale automatically to meet peak demand will either fail under load or be over-provisioned at enormous cost. Auto-scaling infrastructure — cloud-native or on-premise with container orchestration — is a prerequisite for production AI systems that serve variable workloads. Cost efficiency is equally important: AI inference at scale can be expensive, and infrastructure that cannot scale down when demand drops will consume budget without generating 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Infrastructure is largely fixed-capacity. Scaling requires manual provisioning that takes days to weeks. There is no auto-scaling capability and no infrastructure cost management process. Peak demand planning is based on estimates rather than measured capacity testing.</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Some auto-scaling capability exists in cloud environments for specific workloads, but it is not consistently applied across all AI systems. Cost monitoring exists but is not connected to AI-specific spend optimisation.</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Auto-scaling infrastructure is available and used for AI workloads, with defined scaling policies based on measured demand patterns. Infrastructure cost management is automated, with spend alerts, rightsizing recommendations, and regular cost optimisation reviews. Capacity testing is conducted before major deployments.</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3483" w:val="clear"/>
            <w:tcMar>
              <w:top w:type="dxa" w:w="200"/>
              <w:left w:type="dxa" w:w="280"/>
              <w:bottom w:type="dxa" w:w="200"/>
              <w:right w:type="dxa" w:w="280"/>
            </w:tcMar>
          </w:tcPr>
          <w:p>
            <w:pPr>
              <w:spacing w:before="0" w:after="80"/>
            </w:pPr>
            <w:r>
              <w:rPr>
                <w:rFonts w:ascii="Georgia" w:cs="Georgia" w:eastAsia="Georgia" w:hAnsi="Georgia"/>
                <w:b/>
                <w:bCs/>
                <w:color w:val="FFFFFF"/>
                <w:sz w:val="32"/>
                <w:szCs w:val="32"/>
              </w:rPr>
              <w:t xml:space="preserve">Dimension 4  —  04  TALENT</w:t>
            </w:r>
          </w:p>
          <w:p>
            <w:pPr>
              <w:spacing w:before="0" w:after="0"/>
            </w:pPr>
            <w:r>
              <w:rPr>
                <w:rFonts w:ascii="Georgia" w:cs="Georgia" w:eastAsia="Georgia" w:hAnsi="Georgia"/>
                <w:i/>
                <w:iCs/>
                <w:color w:val="FFFFFF"/>
                <w:sz w:val="20"/>
                <w:szCs w:val="20"/>
              </w:rPr>
              <w:t xml:space="preserve">Do you have the skills to build, evaluate, deploy, govern, and sustain AI systems?</w:t>
            </w:r>
          </w:p>
        </w:tc>
      </w:tr>
    </w:tbl>
    <w:p>
      <w:pPr>
        <w:spacing w:before="100" w:after="0"/>
      </w:pPr>
      <w:r>
        <w:rPr>
          <w:rFonts w:ascii="Georgia" w:cs="Georgia" w:eastAsia="Georgia" w:hAnsi="Georgia"/>
          <w:color w:val="2C3E50"/>
          <w:sz w:val="22"/>
          <w:szCs w:val="22"/>
        </w:rPr>
        <w:t xml:space="preserve"/>
      </w:r>
    </w:p>
    <w:p>
      <w:pPr>
        <w:spacing w:before="80" w:after="60"/>
      </w:pPr>
      <w:r>
        <w:rPr>
          <w:rFonts w:ascii="Georgia" w:cs="Georgia" w:eastAsia="Georgia" w:hAnsi="Georgia"/>
          <w:color w:val="2C3E50"/>
          <w:sz w:val="22"/>
          <w:szCs w:val="22"/>
        </w:rPr>
        <w:t xml:space="preserve">RAND's 2024 analysis identified missing domain expertise as one of the five root causes of AI project failure. The talent gap in enterprise AI is not just about ML engineers — it spans data engineering, software engineering, MLOps, AI governance, domain expertise, and change management. These five questions assess whether the talent portfolio needed for production AI exists or can be acquired.</w:t>
      </w:r>
    </w:p>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Q16</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Does the organisation have — or have a credible plan to acquire — the core AI technical roles: ML engineers, data engineers, and MLOps engineers?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Each of these three roles is distinct and cannot be substituted by the others. ML engineers build and evaluate models. Data engineers build and maintain the data pipelines that feed them. MLOps engineers deploy, monitor, and maintain models in production. Many organisations underestimate this by assuming one or two experienced data scientists can cover all three roles. In practice, a production AI team needs all three — and the shortage of qualified candidates means hiring timelines of 3–6 months must be factored into project planning. Outsourcing entirely to a vendor without retaining internal capability creates a permanent dependency that prevents the organisation from evolving or maintaining its own AI systems.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The organisation does not have ML engineers, data engineers, or MLOps engineers. AI projects are planned based on the assumption that talent will be hired or contracted as needed, without accounting for the time and cost of doing so.</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Some AI technical talent exists — perhaps a small data science team — but the capability is incomplete. ML engineering, data engineering, and MLOps are not all covered by dedicated roles. The team can run experiments but struggles to deliver production systems.</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complete AI technical capability exists with dedicated ML engineers, data engineers, and MLOps engineers. Roles, accountabilities, and career paths are defined. A talent acquisition plan covers gaps with realistic timelines. Internal capability is sufficient to build, deploy, and maintain AI systems without full dependency on external vendors.</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Q17</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Do you have domain experts who understand the business problem deeply enough to validate AI outputs and guide model development?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AI models learn statistical patterns from data — but whether those patterns correspond to the correct answer for the business problem requires domain expertise that no ML engineer possesses by default. A fraud detection model needs fraud analysts to validate that it is catching real fraud and not statistical noise. A medical imaging model needs radiologists to validate that detections correspond to genuine clinical findings. Domain experts also provide training labels, identify edge cases that purely statistical approaches will miss, and catch errors that would be invisible to a technical reviewer. Without domain expertise embedded in the project, AI systems are validated against metrics that may not correspond to real-world correctness.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Domain expertise exists in business units but is not accessible to AI projects. Subject matter experts are too busy to participate in AI development, or there is no process for engaging them. AI outputs are validated purely technically without business domain validation.</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Domain experts are occasionally consulted on AI projects but their involvement is not systematic. They review outputs at key milestones but are not embedded in the development process. Edge case identification and label validation are incomplete.</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Domain experts are formally embedded in AI project teams with defined time commitments. They provide training data validation, edge case identification, ongoing output review, and acceptance testing. Their involvement is planned, resourced, and treated as a critical path dependency.</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Q18</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there AI literacy across the leadership team — sufficient to make informed investment and governance decisions?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AI governance failures at the executive level almost always trace back to AI illiteracy: leaders who approve AI investments without understanding what they are approving, who accept accuracy claims without questioning what accuracy means for their specific context, or who do not understand the difference between a prototype and a production system. AI literacy at the leadership level does not require technical depth — it requires understanding of: what AI can and cannot do, what the key risks are, what good governance looks like, and what questions to ask of the technical team. The PwC 2025 survey found that organisations where senior leaders actively engaged with AI governance were 1.5–2x more effective at operationalising responsible 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Leadership has superficial AI awareness from news articles and vendor presentations but lacks the understanding to make informed decisions. AI proposals are approved or rejected based on intuition rather than structured evaluation. Leaders cannot articulate the difference between training and inference, or between accuracy and precision.</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Some leaders have developed AI literacy through workshops or external education, but it is uneven across the team. Some leaders can ask the right questions; others cannot. AI literacy is not treated as a leadership development priority.</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structured AI literacy programme has been completed by the full leadership team. Leaders understand AI capabilities and limitations, key governance concepts, risk classification frameworks, and what questions to ask at each lifecycle gate. AI literacy is an ongoing learning commitment, not a one-time event.</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Q19</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Do you have — or plan to acquire — AI governance expertise: data protection officers, AI ethicists, legal counsel with AI expertise?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AI governance is a specialist capability that general legal, risk, and compliance teams are not equipped to provide without upskilling or augmentation. The EU AI Act requires organisations to appoint responsible persons for high-risk AI systems. GDPR and DPDP require data protection impact assessments for AI systems processing personal data. AI ethics review requires expertise in bias detection, fairness metrics, and impact assessment that most general counsel teams do not possess. Organisations that do not invest in AI governance expertise will either produce non-compliant systems or create so much compliance risk that projects are blocked by legal.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No dedicated AI governance expertise exists. Legal and compliance review AI projects using general frameworks that are not designed for AI-specific risks. There is no data protection officer or the DPO has not been trained on AI-specific obligations.</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DPO exists and is aware of AI-specific obligations but does not have deep AI governance expertise. Legal review of AI projects is conducted but is inconsistent and does not cover all governance dimensions. AI ethics is not a defined function.</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Dedicated AI governance capability exists covering: data protection (DPO with AI expertise), legal (AI-specialist counsel or external support), and ethics (structured ethics review process). AI governance teams are integrated into project delivery processes with defined review points at each lifecycle gate.</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Q20</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there a plan to build AI capability continuously — rather than treating it as a one-time hiring or training exercise?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AI capability built today will be obsolete faster than in any other technology domain. Models, tools, regulations, and best practices are all evolving at a pace that makes a one-time investment in AI skills insufficient. Organisations that are ahead in AI treat capability building as an ongoing operational function: regular upskilling, internal knowledge sharing, structured learning programmes, conference participation, and a culture of continuous learning. Organisations that treat AI capability as a fixed-cost hiring exercise will find their advantage eroding within 12–18 months as the field moves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AI capability building is reactive: skills are acquired when a specific project requires them and are not maintained after the project ends. There is no ongoing learning programme, no knowledge sharing mechanism, and no budget for continuous AI education.</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Some ongoing capability building occurs — perhaps annual training budgets or conference attendance — but it is not systematic, not connected to the AI strategic roadmap, and does not cover all the roles needed for production AI.</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structured AI capability development programme exists with: role-specific learning paths, annual training budgets, internal knowledge sharing forums, access to external communities of practice, and a system for tracking skills development against the needs of the AI roadmap. Capability building is a line item in the AI budget.</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2B21" w:val="clear"/>
            <w:tcMar>
              <w:top w:type="dxa" w:w="200"/>
              <w:left w:type="dxa" w:w="280"/>
              <w:bottom w:type="dxa" w:w="200"/>
              <w:right w:type="dxa" w:w="280"/>
            </w:tcMar>
          </w:tcPr>
          <w:p>
            <w:pPr>
              <w:spacing w:before="0" w:after="80"/>
            </w:pPr>
            <w:r>
              <w:rPr>
                <w:rFonts w:ascii="Georgia" w:cs="Georgia" w:eastAsia="Georgia" w:hAnsi="Georgia"/>
                <w:b/>
                <w:bCs/>
                <w:color w:val="FFFFFF"/>
                <w:sz w:val="32"/>
                <w:szCs w:val="32"/>
              </w:rPr>
              <w:t xml:space="preserve">Dimension 5  —  05  GOVERNANCE</w:t>
            </w:r>
          </w:p>
          <w:p>
            <w:pPr>
              <w:spacing w:before="0" w:after="0"/>
            </w:pPr>
            <w:r>
              <w:rPr>
                <w:rFonts w:ascii="Georgia" w:cs="Georgia" w:eastAsia="Georgia" w:hAnsi="Georgia"/>
                <w:i/>
                <w:iCs/>
                <w:color w:val="FFFFFF"/>
                <w:sz w:val="20"/>
                <w:szCs w:val="20"/>
              </w:rPr>
              <w:t xml:space="preserve">Can you govern AI responsibly and meet your regulatory obligations?</w:t>
            </w:r>
          </w:p>
        </w:tc>
      </w:tr>
    </w:tbl>
    <w:p>
      <w:pPr>
        <w:spacing w:before="100" w:after="0"/>
      </w:pPr>
      <w:r>
        <w:rPr>
          <w:rFonts w:ascii="Georgia" w:cs="Georgia" w:eastAsia="Georgia" w:hAnsi="Georgia"/>
          <w:color w:val="2C3E50"/>
          <w:sz w:val="22"/>
          <w:szCs w:val="22"/>
        </w:rPr>
        <w:t xml:space="preserve"/>
      </w:r>
    </w:p>
    <w:p>
      <w:pPr>
        <w:spacing w:before="80" w:after="60"/>
      </w:pPr>
      <w:r>
        <w:rPr>
          <w:rFonts w:ascii="Georgia" w:cs="Georgia" w:eastAsia="Georgia" w:hAnsi="Georgia"/>
          <w:color w:val="2C3E50"/>
          <w:sz w:val="22"/>
          <w:szCs w:val="22"/>
        </w:rPr>
        <w:t xml:space="preserve">The EU AI Act is fully enforceable from August 2026. The DPDP Act is in force in India. NIST's AI RMF is increasingly referenced in enterprise procurement requirements globally. Only 11% of organisations have fully implemented fundamental responsible AI capabilities according to Stanford's AI Index 2025. These five questions determine whether governance is embedded in how the organisation builds AI — or treated as an afterthought.</w:t>
      </w:r>
    </w:p>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Q21</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Has the organisation conducted an AI inventory — identifying all AI systems in use, their risk classification, and their compliance status?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You cannot govern what you have not catalogued. Many organisations are surprised to discover how many AI systems are already in use — purchased from vendors, built by business units, or embedded in SaaS products — when they conduct a first AI inventory. The EU AI Act requires organisations to maintain documentation of all AI systems and their risk classification. Without an inventory, organisations cannot know which systems require compliance documentation, which have adequate oversight, and which are operating without any governance. The inventory is the starting point for all subsequent governance activity.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No AI inventory exists. The organisation does not have a systematic view of all AI systems in use. AI systems purchased by business units or embedded in vendor products have not been identified or risk-classified.</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partial AI inventory exists, covering the most visible AI systems, but it does not capture all AI in use across the organisation. Risk classification has been applied to some systems but not all. The inventory is not maintained as new systems are deployed.</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comprehensive AI inventory is maintained, covering all AI systems in use including vendor-embedded AI, with risk classification for each system under relevant regulatory frameworks (EU AI Act, DPDP, sector-specific regulations). The inventory is updated when new systems are deployed and reviewed quarterly.</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Q22</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the T.R.U.S.T. Framework — or an equivalent — operationalised as technical controls, not just policy documents?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Governance frameworks that exist as policy documents are not governance — they are intentions. Real governance requires that the principles in the framework are embedded as technical controls: that traceability means automated audit logs, not manual record-keeping; that responsibility means a named system owner with documented accountability, not a policy statement that everyone is responsible; that safety guardrails means automated output filtering and confidence thresholding, not a principle that the AI should be safe. SpanForge's T.R.U.S.T. Framework — Traceability, Responsibility, User Rights, Safety Guardrails, Transparency — is designed to be operationalised as technical controls, not filed as a governance document.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governance framework exists as a policy document but has not been operationalised as technical controls. Compliance is largely self-reported. There is no mechanism to verify that governance principles are being followed in practice.</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Some governance principles have been operationalised — for example, audit logging is in place for some systems — but the framework is not consistently applied across all AI systems. Gaps between policy and practice are known but not systematically addressed.</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The governance framework is operationalised as technical controls across all production AI systems. Traceability is automated. Responsibility is documented in system records. Safety guardrails are implemented in the system architecture. Compliance is verified through automated monitoring, not self-certification.</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Q23</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Has the organisation mapped its AI obligations under relevant regulations — EU AI Act, GDPR, DPDP, NIST AI RMF — and have a compliance plan?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Regulatory compliance for AI is not optional and is not the same as general IT compliance. The EU AI Act introduces specific obligations for providers and deployers of AI systems based on risk classification. GDPR Article 22 governs automated decision-making affecting individuals. India's DPDP Act governs the processing of personal data including in AI systems. NIST's AI RMF is increasingly referenced in enterprise procurement contracts. Organisations that have not mapped their specific obligations under each relevant framework — and built compliance plans with timelines and accountability — will face enforcement action, contract failures, or reputational damage as these frameworks mature.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Regulatory compliance for AI has not been formally assessed. The organisation is aware of regulations in general but has not mapped its specific obligations, identified which systems are in scope, or developed a compliance plan.</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high-level compliance assessment has been conducted but is not complete. Some systems have been reviewed against one or two regulatory frameworks, but cross-framework compliance mapping is not in place. Compliance plans exist for some systems but lack specific milestones or accountability.</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comprehensive AI compliance programme is in place. All AI systems have been mapped against relevant regulatory frameworks. Compliance plans with specific milestones, accountable owners, and budget are in place for all high-risk systems. The programme is reviewed quarterly and updated as regulations evolve.</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Q24</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there a functioning AI incident response capability — able to detect, contain, investigate, and learn from AI-specific incidents?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AI incidents are different from software incidents in one critical respect: they are often invisible until they have already caused significant harm. A model that silently drifts, a system that makes thousands of biased decisions, a consent boundary that is quietly violated — none of these produce the obvious error messages that trigger traditional IT incident response. AI incident response requires: proactive monitoring to detect silent failures, a classification framework for AI-specific incident types (drift, hallucination spike, bias detection, consent violation, security breach), defined escalation paths, and a structured post-incident review that feeds back into the AI system's governance.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No AI incident response capability exists. AI incidents would be handled through the standard IT incident process, which is not designed for AI-specific failure modes. There is no monitoring for silent AI failures and no playbooks for AI incident types.</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Basic incident response exists for AI systems but is not comprehensive. Some monitoring is in place but does not cover all failure modes. Playbooks exist for one or two incident types but not for the full range of AI-specific incidents.</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comprehensive AI incident response capability is in place: proactive monitoring for all material AI failure modes, a classification framework covering AI-specific incident types, defined escalation paths, named incident owners for each system, regularly tested playbooks, and a structured post-incident review process that feeds improvements back into system governance.</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Q25</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Does the organisation have a process for AI ethics review — assessing the impact of AI systems on individuals and society before deployment?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Ethics review is not the same as legal compliance review. Legal compliance asks whether the system meets the minimum requirements of applicable law. Ethics review asks whether the system is the right thing to do — whether it respects the dignity and autonomy of the people it affects, whether its benefits are distributed fairly, and whether its risks are proportionate to its benefits. Many AI systems that are legally compliant are ethically problematic: they may be technically within the law while systematically disadvantaging specific groups, undermining human agency, or creating dependency structures that are harmful in the long term. Organisations that do not have an ethics review process will discover their ethical failures in public, not in private.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No AI ethics review process exists. AI systems are reviewed for legal compliance but not for ethical implications. Ethical concerns, if raised, are addressed informally or not at all.</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Ethics is considered informally during AI project development — team members raise concerns and they are discussed — but there is no structured ethics review process, no consistent methodology, and no accountability for implementing ethics review outcomes.</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structured AI ethics review process is embedded in the project lifecycle, with defined review points, a methodology for assessing impact on affected populations, accountability for implementing review outcomes, and escalation paths for unresolved ethical concerns. Ethics review outcomes are documented and retained as part of the system governance record.</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8449" w:val="clear"/>
            <w:tcMar>
              <w:top w:type="dxa" w:w="200"/>
              <w:left w:type="dxa" w:w="280"/>
              <w:bottom w:type="dxa" w:w="200"/>
              <w:right w:type="dxa" w:w="280"/>
            </w:tcMar>
          </w:tcPr>
          <w:p>
            <w:pPr>
              <w:spacing w:before="0" w:after="80"/>
            </w:pPr>
            <w:r>
              <w:rPr>
                <w:rFonts w:ascii="Georgia" w:cs="Georgia" w:eastAsia="Georgia" w:hAnsi="Georgia"/>
                <w:b/>
                <w:bCs/>
                <w:color w:val="FFFFFF"/>
                <w:sz w:val="32"/>
                <w:szCs w:val="32"/>
              </w:rPr>
              <w:t xml:space="preserve">Dimension 6  —  06  CULTURE</w:t>
            </w:r>
          </w:p>
          <w:p>
            <w:pPr>
              <w:spacing w:before="0" w:after="0"/>
            </w:pPr>
            <w:r>
              <w:rPr>
                <w:rFonts w:ascii="Georgia" w:cs="Georgia" w:eastAsia="Georgia" w:hAnsi="Georgia"/>
                <w:i/>
                <w:iCs/>
                <w:color w:val="FFFFFF"/>
                <w:sz w:val="20"/>
                <w:szCs w:val="20"/>
              </w:rPr>
              <w:t xml:space="preserve">Will your organisation adopt, sustain, and continuously improve AI — or resist and abandon it?</w:t>
            </w:r>
          </w:p>
        </w:tc>
      </w:tr>
    </w:tbl>
    <w:p>
      <w:pPr>
        <w:spacing w:before="100" w:after="0"/>
      </w:pPr>
      <w:r>
        <w:rPr>
          <w:rFonts w:ascii="Georgia" w:cs="Georgia" w:eastAsia="Georgia" w:hAnsi="Georgia"/>
          <w:color w:val="2C3E50"/>
          <w:sz w:val="22"/>
          <w:szCs w:val="22"/>
        </w:rPr>
        <w:t xml:space="preserve"/>
      </w:r>
    </w:p>
    <w:p>
      <w:pPr>
        <w:spacing w:before="80" w:after="60"/>
      </w:pPr>
      <w:r>
        <w:rPr>
          <w:rFonts w:ascii="Georgia" w:cs="Georgia" w:eastAsia="Georgia" w:hAnsi="Georgia"/>
          <w:color w:val="2C3E50"/>
          <w:sz w:val="22"/>
          <w:szCs w:val="22"/>
        </w:rPr>
        <w:t xml:space="preserve">PwC's 2025 Responsible AI Survey found that 56% of executives report first-line teams now lead responsible AI efforts — but only where culture supports it. MIT NANDA's 2025 research identified empowering line managers as the decisive organisational factor separating AI successes from failures. Culture is the hardest dimension to change and the one most often neglected. These five questions determine whether the cultural conditions for sustained AI adoption exist.</w:t>
      </w:r>
    </w:p>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Q26</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there a culture of data-driven decision making — or does intuition and hierarchy override evidence?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AI is, at its core, a mechanism for making decisions based on evidence at scale. Organisations where decisions are made based on the most senior person's opinion — regardless of what the data shows — will not adopt AI recommendations consistently. If a model recommends one action and a senior leader's intuition says another, the intuition will win. Over time, teams in these organisations learn not to trust AI outputs because they see that overrides are common and the model is not held accountable for its recommendations. The cultural precondition for AI adoption is a genuine, demonstrated commitment to evidence-based decision making.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Decisions are primarily driven by seniority and intuition. Data is presented to support decisions that have already been made, not to inform decisions that are yet to be made. Disagreeing with a senior leader based on data is culturally difficult or professionally risky.</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Data is valued and used in some contexts — particularly in analytical functions — but does not consistently drive decisions across the organisation. Senior leaders vary significantly in their willingness to be challenged by data.</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demonstrable culture of data-driven decision making exists across the organisation. Data is used to challenge as well as confirm decisions. Disagreement based on evidence is encouraged and safe. Leaders model data-driven behaviour and hold their teams accountable for evidence-based recommendations.</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Q27</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How does the organisation respond to AI failures — with blame and avoidance, or with learning and improvement?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AI systems will fail. The question is not whether failures will happen but whether the organisation responds in a way that enables learning and improvement or in a way that suppresses information and creates incentives to hide problems. A blame culture around AI failures is particularly damaging because it causes teams to deploy systems without adequate testing (to avoid discovering problems), to underreport incidents (to avoid accountability), and to avoid honest assessment of model performance (to avoid delivering bad news). The organisations that make the most progress with AI are those that treat failures as learning opportunities and create psychological safety for honest reporting.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AI failures, errors, and underperformance are met with blame and negative consequences for the teams involved. As a result, problems are underreported, risks are hidden, and teams optimise for appearing successful rather than being successful.</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The stated culture is blameless but the actual culture is inconsistent. Some failures are treated as learning opportunities while others are met with blame, depending on the visibility of the failure and the seniority of the people involved.</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demonstrable learning culture exists around AI and technology failures. Post-incident reviews focus on system and process improvement rather than individual blame. Teams are recognised for honest reporting of problems and for rapid improvement. Leadership models this behaviour explicitly.</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Q28</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there trust in AI among the employees who will use AI-assisted tools and work alongside AI systems?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The most technically excellent AI system delivers zero value if the people it is supposed to help do not trust it and find ways to work around it. Employee trust in AI is not a given — it must be earned through transparency (explaining how the AI makes decisions), demonstrated reliability (the AI is right often enough to be worth using), and genuine involvement (employees had input into the design and can see their feedback incorporated). Mandating AI adoption without earning trust produces compliance without engagement — employees use the system when observed and return to their preferred methods otherwise.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Significant employee distrust of AI exists, often based on fear of job displacement, concerns about accuracy, or past negative experiences with technology projects. AI initiatives face active resistance or passive non-adoption.</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Employee sentiment on AI is mixed and context-dependent. Some teams and roles are enthusiastic; others are sceptical or resistant. No systematic effort has been made to build trust or address concerns proactively.</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proactive programme to build employee trust in AI is in place: transparent communication about how AI systems work, demonstrated reliability through measured and shared performance data, genuine involvement of employees in design and testing, and open channels for raising and resolving concerns. Employee trust is measured and tracked.</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Q29</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Is there leadership appetite to accept short-term disruption in exchange for long-term AI capability — or does every AI project need to show immediate ROI?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Building foundational AI capability takes time. Data infrastructure, MLOps platforms, governance frameworks, and talent development are all investments that enable multiple future AI systems but do not produce immediate business results. Organisations that demand immediate ROI from every AI investment will never build the foundational capability that makes high-value AI possible — they will only ever fund tactical projects that produce marginal improvements without enabling strategic transformation. The organisations that lead in AI make foundational investments explicitly, track them separately from project-level ROI, and protect them through quarterly budget cycles.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Every AI investment must demonstrate positive ROI within 6–12 months. Foundational investments — data infrastructure, governance, talent — are viewed as overhead rather than strategic enablers. Projects that do not show immediate results are cancelled.</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Leadership intellectually accepts the need for foundational AI investment but in practice applies short-term ROI pressure to all AI spending. Foundational projects are started but frequently de-scoped or cancelled when they compete for budget with projects showing faster returns.</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Leadership explicitly distinguishes between foundational AI investment and project-level AI investment. Foundational investments are budgeted separately, protected through quarterly cycles, and evaluated against capability metrics (platforms built, skills developed, governance frameworks in place) rather than immediate financial returns.</w:t>
                  </w:r>
                </w:p>
              </w:tc>
            </w:tr>
          </w:tbl>
          <w:p/>
        </w:tc>
      </w:tr>
    </w:tbl>
    <w:p>
      <w:pPr>
        <w:spacing w:before="6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9" w:sz="1"/>
              <w:left w:val="single" w:color="E5E7E9" w:sz="1"/>
              <w:bottom w:val="single" w:color="E5E7E9" w:sz="1"/>
              <w:right w:val="single" w:color="E5E7E9" w:sz="1"/>
            </w:tcBorders>
            <w:shd w:fill="FDFEFE"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C2833" w:val="clear"/>
                  <w:tcMar>
                    <w:top w:type="dxa" w:w="120"/>
                    <w:left w:type="dxa" w:w="160"/>
                    <w:bottom w:type="dxa" w:w="120"/>
                    <w:right w:type="dxa" w:w="100"/>
                  </w:tcMar>
                  <w:vAlign w:val="center"/>
                </w:tcPr>
                <w:p>
                  <w:pPr>
                    <w:jc w:val="center"/>
                  </w:pPr>
                  <w:r>
                    <w:rPr>
                      <w:rFonts w:ascii="Georgia" w:cs="Georgia" w:eastAsia="Georgia" w:hAnsi="Georgia"/>
                      <w:b/>
                      <w:bCs/>
                      <w:color w:val="FFFFFF"/>
                      <w:sz w:val="22"/>
                      <w:szCs w:val="22"/>
                    </w:rPr>
                    <w:t xml:space="preserve">Q30</w:t>
                  </w:r>
                </w:p>
              </w:tc>
              <w:tc>
                <w:tcPr>
                  <w:tcW w:type="dxa" w:w="8720"/>
                  <w:tcBorders>
                    <w:top w:val="none" w:color="FFFFFF" w:sz="0"/>
                    <w:left w:val="none" w:color="FFFFFF" w:sz="0"/>
                    <w:bottom w:val="none" w:color="FFFFFF" w:sz="0"/>
                    <w:right w:val="none" w:color="FFFFFF" w:sz="0"/>
                  </w:tcBorders>
                  <w:shd w:fill="1C2833" w:val="clear"/>
                  <w:tcMar>
                    <w:top w:type="dxa" w:w="120"/>
                    <w:left w:type="dxa" w:w="160"/>
                    <w:bottom w:type="dxa" w:w="120"/>
                    <w:right w:type="dxa" w:w="160"/>
                  </w:tcMar>
                </w:tcPr>
                <w:p>
                  <w:pPr>
                    <w:spacing w:before="0" w:after="0"/>
                  </w:pPr>
                  <w:r>
                    <w:rPr>
                      <w:rFonts w:ascii="Georgia" w:cs="Georgia" w:eastAsia="Georgia" w:hAnsi="Georgia"/>
                      <w:b/>
                      <w:bCs/>
                      <w:color w:val="FFFFFF"/>
                      <w:sz w:val="23"/>
                      <w:szCs w:val="23"/>
                    </w:rPr>
                    <w:t xml:space="preserve">Does the organisation have a clear, honest narrative for employees about AI's impact on their roles — and a plan to support them through that transition?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9" w:sz="1"/>
                    <w:left w:val="none" w:color="FFFFFF" w:sz="0"/>
                    <w:bottom w:val="none" w:color="FFFFFF" w:sz="0"/>
                    <w:right w:val="single" w:color="E5E7E9" w:sz="2"/>
                  </w:tcBorders>
                  <w:shd w:fill="F4F6F7" w:val="clear"/>
                  <w:tcMar>
                    <w:top w:type="dxa" w:w="120"/>
                    <w:left w:type="dxa" w:w="160"/>
                    <w:bottom w:type="dxa" w:w="120"/>
                    <w:right w:type="dxa" w:w="100"/>
                  </w:tcMar>
                  <w:vAlign w:val="center"/>
                </w:tcPr>
                <w:p>
                  <w:pPr>
                    <w:spacing w:before="0" w:after="0"/>
                  </w:pPr>
                  <w:r>
                    <w:rPr>
                      <w:rFonts w:ascii="Georgia" w:cs="Georgia" w:eastAsia="Georgia" w:hAnsi="Georgia"/>
                      <w:b/>
                      <w:bCs/>
                      <w:color w:val="566573"/>
                      <w:sz w:val="18"/>
                      <w:szCs w:val="18"/>
                    </w:rPr>
                    <w:t xml:space="preserve">Why we ask</w:t>
                  </w:r>
                </w:p>
              </w:tc>
              <w:tc>
                <w:tcPr>
                  <w:tcW w:type="dxa" w:w="7960"/>
                  <w:tcBorders>
                    <w:top w:val="single" w:color="E5E7E9" w:sz="1"/>
                    <w:left w:val="none" w:color="FFFFFF" w:sz="0"/>
                    <w:bottom w:val="none" w:color="FFFFFF" w:sz="0"/>
                    <w:right w:val="none" w:color="FFFFFF" w:sz="0"/>
                  </w:tcBorders>
                  <w:shd w:fill="FFFFFF" w:val="clear"/>
                  <w:tcMar>
                    <w:top w:type="dxa" w:w="120"/>
                    <w:left w:type="dxa" w:w="160"/>
                    <w:bottom w:type="dxa" w:w="120"/>
                    <w:right w:type="dxa" w:w="160"/>
                  </w:tcMar>
                </w:tcPr>
                <w:p>
                  <w:pPr>
                    <w:spacing w:before="0" w:after="0"/>
                  </w:pPr>
                  <w:r>
                    <w:rPr>
                      <w:rFonts w:ascii="Georgia" w:cs="Georgia" w:eastAsia="Georgia" w:hAnsi="Georgia"/>
                      <w:color w:val="2C3E50"/>
                      <w:sz w:val="21"/>
                      <w:szCs w:val="21"/>
                    </w:rPr>
                    <w:t xml:space="preserve">Organisations that do not have a clear and honest narrative about AI's impact on their workforce create an information vacuum that is filled by fear, speculation, and rumour. The rumour is almost always worse than the reality. Employees who fear displacement do not engage constructively with AI initiatives — they resist them or comply superficially. A clear narrative does not mean promising that no jobs will change — many will. It means being honest about which roles will evolve, what the organisation will do to support people through that evolution, and what the timeline looks like. Organisations with a credible, honest workforce narrative around AI consistently achieve higher adoption, lower resistance, and better outcomes.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C0392B"/>
                      <w:sz w:val="17"/>
                      <w:szCs w:val="17"/>
                    </w:rPr>
                    <w:t xml:space="preserve">Score 1 — Early stage</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D68910"/>
                      <w:sz w:val="17"/>
                      <w:szCs w:val="17"/>
                    </w:rPr>
                    <w:t xml:space="preserve">Score 3 — Developing</w:t>
                  </w:r>
                </w:p>
              </w:tc>
              <w:tc>
                <w:tcPr>
                  <w:tcW w:type="dxa" w:w="3120"/>
                  <w:tcBorders>
                    <w:top w:val="single" w:color="E5E7E9" w:sz="1"/>
                    <w:left w:val="none" w:color="FFFFFF" w:sz="0"/>
                    <w:bottom w:val="single" w:color="E5E7E9" w:sz="1"/>
                    <w:right w:val="single" w:color="E5E7E9" w:sz="1"/>
                  </w:tcBorders>
                  <w:shd w:fill="F4F6F7" w:val="clear"/>
                  <w:tcMar>
                    <w:top w:type="dxa" w:w="80"/>
                    <w:left w:type="dxa" w:w="120"/>
                    <w:bottom w:type="dxa" w:w="80"/>
                    <w:right w:type="dxa" w:w="100"/>
                  </w:tcMar>
                </w:tcPr>
                <w:p>
                  <w:pPr>
                    <w:spacing w:before="0" w:after="0"/>
                  </w:pPr>
                  <w:r>
                    <w:rPr>
                      <w:rFonts w:ascii="Georgia" w:cs="Georgia" w:eastAsia="Georgia" w:hAnsi="Georgia"/>
                      <w:b/>
                      <w:bCs/>
                      <w:color w:val="1E8449"/>
                      <w:sz w:val="17"/>
                      <w:szCs w:val="17"/>
                    </w:rPr>
                    <w:t xml:space="preserve">Score 5 — Ready</w:t>
                  </w:r>
                </w:p>
              </w:tc>
            </w:tr>
            <w:tr>
              <w:tc>
                <w:tcPr>
                  <w:tcW w:type="dxa" w:w="3120"/>
                  <w:tcBorders>
                    <w:top w:val="none" w:color="FFFFFF" w:sz="0"/>
                    <w:left w:val="none" w:color="FFFFFF" w:sz="0"/>
                    <w:bottom w:val="none" w:color="FFFFFF" w:sz="0"/>
                    <w:right w:val="single" w:color="E5E7E9" w:sz="1"/>
                  </w:tcBorders>
                  <w:shd w:fill="FADBD8"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There is no organisational narrative about AI's impact on the workforce beyond vague reassurances. Employees are left to interpret AI initiatives through speculation. Change management for AI is not considered until after deployment, when resistance is already entrenched.</w:t>
                  </w:r>
                </w:p>
              </w:tc>
              <w:tc>
                <w:tcPr>
                  <w:tcW w:type="dxa" w:w="3120"/>
                  <w:tcBorders>
                    <w:top w:val="none" w:color="FFFFFF" w:sz="0"/>
                    <w:left w:val="none" w:color="FFFFFF" w:sz="0"/>
                    <w:bottom w:val="none" w:color="FFFFFF" w:sz="0"/>
                    <w:right w:val="single" w:color="E5E7E9" w:sz="1"/>
                  </w:tcBorders>
                  <w:shd w:fill="FDEBD0"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narrative exists but it is aspirational and not credible — focused on opportunity without acknowledging disruption. Employees see the gap between the official messaging and their direct experience. Change management is planned but not yet executed.</w:t>
                  </w:r>
                </w:p>
              </w:tc>
              <w:tc>
                <w:tcPr>
                  <w:tcW w:type="dxa" w:w="3120"/>
                  <w:tcBorders>
                    <w:top w:val="none" w:color="FFFFFF" w:sz="0"/>
                    <w:left w:val="none" w:color="FFFFFF" w:sz="0"/>
                    <w:bottom w:val="none" w:color="FFFFFF" w:sz="0"/>
                    <w:right w:val="single" w:color="E5E7E9" w:sz="1"/>
                  </w:tcBorders>
                  <w:shd w:fill="D5F5E3" w:val="clear"/>
                  <w:tcMar>
                    <w:top w:type="dxa" w:w="100"/>
                    <w:left w:type="dxa" w:w="120"/>
                    <w:bottom w:type="dxa" w:w="120"/>
                    <w:right w:type="dxa" w:w="100"/>
                  </w:tcMar>
                </w:tcPr>
                <w:p>
                  <w:pPr>
                    <w:spacing w:before="0" w:after="0"/>
                  </w:pPr>
                  <w:r>
                    <w:rPr>
                      <w:rFonts w:ascii="Georgia" w:cs="Georgia" w:eastAsia="Georgia" w:hAnsi="Georgia"/>
                      <w:color w:val="2C3E50"/>
                      <w:sz w:val="19"/>
                      <w:szCs w:val="19"/>
                    </w:rPr>
                    <w:t xml:space="preserve">A clear, honest, and credible workforce narrative exists. It acknowledges that some roles will change, specifies which roles and in what ways, commits the organisation to specific support (reskilling, redeployment, transition support), and gives employees a realistic timeline. The narrative was developed with employee involvement and is communicated by senior leaders personally.</w:t>
                  </w:r>
                </w:p>
              </w:tc>
            </w:tr>
          </w:tbl>
          <w:p/>
        </w:tc>
      </w:tr>
    </w:tbl>
    <w:p>
      <w:r>
        <w:br w:type="page"/>
      </w:r>
    </w:p>
    <w:p>
      <w:pPr>
        <w:spacing w:before="480" w:after="120"/>
      </w:pPr>
      <w:r>
        <w:rPr>
          <w:rFonts w:ascii="Georgia" w:cs="Georgia" w:eastAsia="Georgia" w:hAnsi="Georgia"/>
          <w:b/>
          <w:bCs/>
          <w:color w:val="1C2833"/>
          <w:sz w:val="52"/>
          <w:szCs w:val="52"/>
        </w:rPr>
        <w:t xml:space="preserve">Scoring Guide</w:t>
      </w:r>
    </w:p>
    <w:p>
      <w:pPr>
        <w:pBdr>
          <w:bottom w:val="single" w:color="C0392B" w:sz="3" w:space="1"/>
        </w:pBdr>
        <w:spacing w:before="0" w:after="0"/>
      </w:pPr>
      <w:r>
        <w:rPr>
          <w:rFonts w:ascii="Georgia" w:cs="Georgia" w:eastAsia="Georgia" w:hAnsi="Georgia"/>
          <w:color w:val="2C3E50"/>
          <w:sz w:val="22"/>
          <w:szCs w:val="22"/>
        </w:rPr>
        <w:t xml:space="preserve"/>
      </w:r>
    </w:p>
    <w:p>
      <w:pPr>
        <w:spacing w:before="80" w:after="0"/>
      </w:pPr>
      <w:r>
        <w:rPr>
          <w:rFonts w:ascii="Georgia" w:cs="Georgia" w:eastAsia="Georgia" w:hAnsi="Georgia"/>
          <w:color w:val="2C3E50"/>
          <w:sz w:val="22"/>
          <w:szCs w:val="22"/>
        </w:rPr>
        <w:t xml:space="preserve"/>
      </w:r>
    </w:p>
    <w:p>
      <w:pPr>
        <w:spacing w:before="80" w:after="60"/>
      </w:pPr>
      <w:r>
        <w:rPr>
          <w:rFonts w:ascii="Georgia" w:cs="Georgia" w:eastAsia="Georgia" w:hAnsi="Georgia"/>
          <w:color w:val="2C3E50"/>
          <w:sz w:val="22"/>
          <w:szCs w:val="22"/>
        </w:rPr>
        <w:t xml:space="preserve">Score each question 1–5 using the guide in each card. Score what is demonstrably true today, not what is planned or aspirational. Score as a team — disagreements between team members are as informative as the scores themselves.</w:t>
      </w:r>
    </w:p>
    <w:p>
      <w:pPr>
        <w:spacing w:before="10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E5E7E9" w:sz="1"/>
              <w:left w:val="single" w:color="E5E7E9" w:sz="1"/>
              <w:bottom w:val="single" w:color="E5E7E9" w:sz="1"/>
              <w:right w:val="single" w:color="E5E7E9" w:sz="1"/>
            </w:tcBorders>
            <w:shd w:fill="1C2833" w:val="clear"/>
            <w:tcMar>
              <w:top w:type="dxa" w:w="80"/>
              <w:left w:type="dxa" w:w="120"/>
              <w:bottom w:type="dxa" w:w="80"/>
              <w:right w:type="dxa" w:w="100"/>
            </w:tcMar>
          </w:tcPr>
          <w:p>
            <w:pPr>
              <w:spacing w:before="0" w:after="0"/>
            </w:pPr>
            <w:r>
              <w:rPr>
                <w:rFonts w:ascii="Georgia" w:cs="Georgia" w:eastAsia="Georgia" w:hAnsi="Georgia"/>
                <w:b/>
                <w:bCs/>
                <w:caps/>
                <w:color w:val="FFFFFF"/>
                <w:sz w:val="18"/>
                <w:szCs w:val="18"/>
              </w:rPr>
              <w:t xml:space="preserve">Score range</w:t>
            </w:r>
          </w:p>
        </w:tc>
        <w:tc>
          <w:tcPr>
            <w:tcW w:type="dxa" w:w="1800"/>
            <w:tcBorders>
              <w:top w:val="single" w:color="E5E7E9" w:sz="1"/>
              <w:left w:val="single" w:color="E5E7E9" w:sz="1"/>
              <w:bottom w:val="single" w:color="E5E7E9" w:sz="1"/>
              <w:right w:val="single" w:color="E5E7E9" w:sz="1"/>
            </w:tcBorders>
            <w:shd w:fill="1C2833" w:val="clear"/>
            <w:tcMar>
              <w:top w:type="dxa" w:w="80"/>
              <w:left w:type="dxa" w:w="120"/>
              <w:bottom w:type="dxa" w:w="80"/>
              <w:right w:type="dxa" w:w="100"/>
            </w:tcMar>
          </w:tcPr>
          <w:p>
            <w:pPr>
              <w:spacing w:before="0" w:after="0"/>
            </w:pPr>
            <w:r>
              <w:rPr>
                <w:rFonts w:ascii="Georgia" w:cs="Georgia" w:eastAsia="Georgia" w:hAnsi="Georgia"/>
                <w:b/>
                <w:bCs/>
                <w:caps/>
                <w:color w:val="FFFFFF"/>
                <w:sz w:val="18"/>
                <w:szCs w:val="18"/>
              </w:rPr>
              <w:t xml:space="preserve">Verdict</w:t>
            </w:r>
          </w:p>
        </w:tc>
        <w:tc>
          <w:tcPr>
            <w:tcW w:type="dxa" w:w="5960"/>
            <w:tcBorders>
              <w:top w:val="single" w:color="E5E7E9" w:sz="1"/>
              <w:left w:val="single" w:color="E5E7E9" w:sz="1"/>
              <w:bottom w:val="single" w:color="E5E7E9" w:sz="1"/>
              <w:right w:val="single" w:color="E5E7E9" w:sz="1"/>
            </w:tcBorders>
            <w:shd w:fill="1C2833" w:val="clear"/>
            <w:tcMar>
              <w:top w:type="dxa" w:w="80"/>
              <w:left w:type="dxa" w:w="120"/>
              <w:bottom w:type="dxa" w:w="80"/>
              <w:right w:type="dxa" w:w="100"/>
            </w:tcMar>
          </w:tcPr>
          <w:p>
            <w:pPr>
              <w:spacing w:before="0" w:after="0"/>
            </w:pPr>
            <w:r>
              <w:rPr>
                <w:rFonts w:ascii="Georgia" w:cs="Georgia" w:eastAsia="Georgia" w:hAnsi="Georgia"/>
                <w:b/>
                <w:bCs/>
                <w:caps/>
                <w:color w:val="FFFFFF"/>
                <w:sz w:val="18"/>
                <w:szCs w:val="18"/>
              </w:rPr>
              <w:t xml:space="preserve">What to do</w:t>
            </w:r>
          </w:p>
        </w:tc>
      </w:tr>
      <w:tr>
        <w:tc>
          <w:tcPr>
            <w:tcW w:type="dxa" w:w="1600"/>
            <w:tcBorders>
              <w:top w:val="single" w:color="E5E7E9" w:sz="1"/>
              <w:left w:val="single" w:color="E5E7E9" w:sz="1"/>
              <w:bottom w:val="single" w:color="E5E7E9" w:sz="1"/>
              <w:right w:val="single" w:color="E5E7E9" w:sz="1"/>
            </w:tcBorders>
            <w:shd w:fill="D5F5E3" w:val="clear"/>
            <w:tcMar>
              <w:top w:type="dxa" w:w="80"/>
              <w:left w:type="dxa" w:w="120"/>
              <w:bottom w:type="dxa" w:w="80"/>
              <w:right w:type="dxa" w:w="100"/>
            </w:tcMar>
          </w:tcPr>
          <w:p>
            <w:pPr>
              <w:spacing w:before="0" w:after="0"/>
            </w:pPr>
            <w:r>
              <w:rPr>
                <w:rFonts w:ascii="Georgia" w:cs="Georgia" w:eastAsia="Georgia" w:hAnsi="Georgia"/>
                <w:b/>
                <w:bCs/>
                <w:color w:val="1E8449"/>
                <w:sz w:val="19"/>
                <w:szCs w:val="19"/>
              </w:rPr>
              <w:t xml:space="preserve">130 – 150</w:t>
            </w:r>
          </w:p>
        </w:tc>
        <w:tc>
          <w:tcPr>
            <w:tcW w:type="dxa" w:w="1800"/>
            <w:tcBorders>
              <w:top w:val="single" w:color="E5E7E9" w:sz="1"/>
              <w:left w:val="single" w:color="E5E7E9" w:sz="1"/>
              <w:bottom w:val="single" w:color="E5E7E9" w:sz="1"/>
              <w:right w:val="single" w:color="E5E7E9" w:sz="1"/>
            </w:tcBorders>
            <w:shd w:fill="D5F5E3" w:val="clear"/>
            <w:tcMar>
              <w:top w:type="dxa" w:w="80"/>
              <w:left w:type="dxa" w:w="120"/>
              <w:bottom w:type="dxa" w:w="80"/>
              <w:right w:type="dxa" w:w="100"/>
            </w:tcMar>
          </w:tcPr>
          <w:p>
            <w:pPr>
              <w:spacing w:before="0" w:after="0"/>
            </w:pPr>
            <w:r>
              <w:rPr>
                <w:rFonts w:ascii="Georgia" w:cs="Georgia" w:eastAsia="Georgia" w:hAnsi="Georgia"/>
                <w:b/>
                <w:bCs/>
                <w:color w:val="1E8449"/>
                <w:sz w:val="19"/>
                <w:szCs w:val="19"/>
              </w:rPr>
              <w:t xml:space="preserve">Ready</w:t>
            </w:r>
          </w:p>
        </w:tc>
        <w:tc>
          <w:tcPr>
            <w:tcW w:type="dxa" w:w="5960"/>
            <w:tcBorders>
              <w:top w:val="single" w:color="E5E7E9" w:sz="1"/>
              <w:left w:val="single" w:color="E5E7E9" w:sz="1"/>
              <w:bottom w:val="single" w:color="E5E7E9" w:sz="1"/>
              <w:right w:val="single" w:color="E5E7E9" w:sz="1"/>
            </w:tcBorders>
            <w:shd w:fill="FDFEFE" w:val="clear"/>
            <w:tcMar>
              <w:top w:type="dxa" w:w="80"/>
              <w:left w:type="dxa" w:w="120"/>
              <w:bottom w:type="dxa" w:w="80"/>
              <w:right w:type="dxa" w:w="100"/>
            </w:tcMar>
          </w:tcPr>
          <w:p>
            <w:pPr>
              <w:spacing w:before="0" w:after="0"/>
            </w:pPr>
            <w:r>
              <w:rPr>
                <w:rFonts w:ascii="Georgia" w:cs="Georgia" w:eastAsia="Georgia" w:hAnsi="Georgia"/>
                <w:color w:val="2C3E50"/>
                <w:sz w:val="19"/>
                <w:szCs w:val="19"/>
              </w:rPr>
              <w:t xml:space="preserve">Proceed to AI projects with confidence. Review any dimension scoring below 20 — a high total with a low dimension score may hide a critical gap.</w:t>
            </w:r>
          </w:p>
        </w:tc>
      </w:tr>
      <w:tr>
        <w:tc>
          <w:tcPr>
            <w:tcW w:type="dxa" w:w="1600"/>
            <w:tcBorders>
              <w:top w:val="single" w:color="E5E7E9" w:sz="1"/>
              <w:left w:val="single" w:color="E5E7E9" w:sz="1"/>
              <w:bottom w:val="single" w:color="E5E7E9" w:sz="1"/>
              <w:right w:val="single" w:color="E5E7E9" w:sz="1"/>
            </w:tcBorders>
            <w:shd w:fill="D6EAF8" w:val="clear"/>
            <w:tcMar>
              <w:top w:type="dxa" w:w="80"/>
              <w:left w:type="dxa" w:w="120"/>
              <w:bottom w:type="dxa" w:w="80"/>
              <w:right w:type="dxa" w:w="100"/>
            </w:tcMar>
          </w:tcPr>
          <w:p>
            <w:pPr>
              <w:spacing w:before="0" w:after="0"/>
            </w:pPr>
            <w:r>
              <w:rPr>
                <w:rFonts w:ascii="Georgia" w:cs="Georgia" w:eastAsia="Georgia" w:hAnsi="Georgia"/>
                <w:b/>
                <w:bCs/>
                <w:color w:val="1A5276"/>
                <w:sz w:val="19"/>
                <w:szCs w:val="19"/>
              </w:rPr>
              <w:t xml:space="preserve">105 – 129</w:t>
            </w:r>
          </w:p>
        </w:tc>
        <w:tc>
          <w:tcPr>
            <w:tcW w:type="dxa" w:w="1800"/>
            <w:tcBorders>
              <w:top w:val="single" w:color="E5E7E9" w:sz="1"/>
              <w:left w:val="single" w:color="E5E7E9" w:sz="1"/>
              <w:bottom w:val="single" w:color="E5E7E9" w:sz="1"/>
              <w:right w:val="single" w:color="E5E7E9" w:sz="1"/>
            </w:tcBorders>
            <w:shd w:fill="D6EAF8" w:val="clear"/>
            <w:tcMar>
              <w:top w:type="dxa" w:w="80"/>
              <w:left w:type="dxa" w:w="120"/>
              <w:bottom w:type="dxa" w:w="80"/>
              <w:right w:type="dxa" w:w="100"/>
            </w:tcMar>
          </w:tcPr>
          <w:p>
            <w:pPr>
              <w:spacing w:before="0" w:after="0"/>
            </w:pPr>
            <w:r>
              <w:rPr>
                <w:rFonts w:ascii="Georgia" w:cs="Georgia" w:eastAsia="Georgia" w:hAnsi="Georgia"/>
                <w:b/>
                <w:bCs/>
                <w:color w:val="1A5276"/>
                <w:sz w:val="19"/>
                <w:szCs w:val="19"/>
              </w:rPr>
              <w:t xml:space="preserve">Developing</w:t>
            </w:r>
          </w:p>
        </w:tc>
        <w:tc>
          <w:tcPr>
            <w:tcW w:type="dxa" w:w="5960"/>
            <w:tcBorders>
              <w:top w:val="single" w:color="E5E7E9" w:sz="1"/>
              <w:left w:val="single" w:color="E5E7E9" w:sz="1"/>
              <w:bottom w:val="single" w:color="E5E7E9" w:sz="1"/>
              <w:right w:val="single" w:color="E5E7E9" w:sz="1"/>
            </w:tcBorders>
            <w:shd w:fill="FDFEFE" w:val="clear"/>
            <w:tcMar>
              <w:top w:type="dxa" w:w="80"/>
              <w:left w:type="dxa" w:w="120"/>
              <w:bottom w:type="dxa" w:w="80"/>
              <w:right w:type="dxa" w:w="100"/>
            </w:tcMar>
          </w:tcPr>
          <w:p>
            <w:pPr>
              <w:spacing w:before="0" w:after="0"/>
            </w:pPr>
            <w:r>
              <w:rPr>
                <w:rFonts w:ascii="Georgia" w:cs="Georgia" w:eastAsia="Georgia" w:hAnsi="Georgia"/>
                <w:color w:val="2C3E50"/>
                <w:sz w:val="19"/>
                <w:szCs w:val="19"/>
              </w:rPr>
              <w:t xml:space="preserve">AI projects can begin in the stronger dimensions. Build a 90-day readiness plan to address the dimensions scoring below 18.</w:t>
            </w:r>
          </w:p>
        </w:tc>
      </w:tr>
      <w:tr>
        <w:tc>
          <w:tcPr>
            <w:tcW w:type="dxa" w:w="1600"/>
            <w:tcBorders>
              <w:top w:val="single" w:color="E5E7E9" w:sz="1"/>
              <w:left w:val="single" w:color="E5E7E9" w:sz="1"/>
              <w:bottom w:val="single" w:color="E5E7E9" w:sz="1"/>
              <w:right w:val="single" w:color="E5E7E9" w:sz="1"/>
            </w:tcBorders>
            <w:shd w:fill="FDEBD0" w:val="clear"/>
            <w:tcMar>
              <w:top w:type="dxa" w:w="80"/>
              <w:left w:type="dxa" w:w="120"/>
              <w:bottom w:type="dxa" w:w="80"/>
              <w:right w:type="dxa" w:w="100"/>
            </w:tcMar>
          </w:tcPr>
          <w:p>
            <w:pPr>
              <w:spacing w:before="0" w:after="0"/>
            </w:pPr>
            <w:r>
              <w:rPr>
                <w:rFonts w:ascii="Georgia" w:cs="Georgia" w:eastAsia="Georgia" w:hAnsi="Georgia"/>
                <w:b/>
                <w:bCs/>
                <w:color w:val="D68910"/>
                <w:sz w:val="19"/>
                <w:szCs w:val="19"/>
              </w:rPr>
              <w:t xml:space="preserve">75 – 104</w:t>
            </w:r>
          </w:p>
        </w:tc>
        <w:tc>
          <w:tcPr>
            <w:tcW w:type="dxa" w:w="1800"/>
            <w:tcBorders>
              <w:top w:val="single" w:color="E5E7E9" w:sz="1"/>
              <w:left w:val="single" w:color="E5E7E9" w:sz="1"/>
              <w:bottom w:val="single" w:color="E5E7E9" w:sz="1"/>
              <w:right w:val="single" w:color="E5E7E9" w:sz="1"/>
            </w:tcBorders>
            <w:shd w:fill="FDEBD0" w:val="clear"/>
            <w:tcMar>
              <w:top w:type="dxa" w:w="80"/>
              <w:left w:type="dxa" w:w="120"/>
              <w:bottom w:type="dxa" w:w="80"/>
              <w:right w:type="dxa" w:w="100"/>
            </w:tcMar>
          </w:tcPr>
          <w:p>
            <w:pPr>
              <w:spacing w:before="0" w:after="0"/>
            </w:pPr>
            <w:r>
              <w:rPr>
                <w:rFonts w:ascii="Georgia" w:cs="Georgia" w:eastAsia="Georgia" w:hAnsi="Georgia"/>
                <w:b/>
                <w:bCs/>
                <w:color w:val="D68910"/>
                <w:sz w:val="19"/>
                <w:szCs w:val="19"/>
              </w:rPr>
              <w:t xml:space="preserve">Emerging</w:t>
            </w:r>
          </w:p>
        </w:tc>
        <w:tc>
          <w:tcPr>
            <w:tcW w:type="dxa" w:w="5960"/>
            <w:tcBorders>
              <w:top w:val="single" w:color="E5E7E9" w:sz="1"/>
              <w:left w:val="single" w:color="E5E7E9" w:sz="1"/>
              <w:bottom w:val="single" w:color="E5E7E9" w:sz="1"/>
              <w:right w:val="single" w:color="E5E7E9" w:sz="1"/>
            </w:tcBorders>
            <w:shd w:fill="FDFEFE" w:val="clear"/>
            <w:tcMar>
              <w:top w:type="dxa" w:w="80"/>
              <w:left w:type="dxa" w:w="120"/>
              <w:bottom w:type="dxa" w:w="80"/>
              <w:right w:type="dxa" w:w="100"/>
            </w:tcMar>
          </w:tcPr>
          <w:p>
            <w:pPr>
              <w:spacing w:before="0" w:after="0"/>
            </w:pPr>
            <w:r>
              <w:rPr>
                <w:rFonts w:ascii="Georgia" w:cs="Georgia" w:eastAsia="Georgia" w:hAnsi="Georgia"/>
                <w:color w:val="2C3E50"/>
                <w:sz w:val="19"/>
                <w:szCs w:val="19"/>
              </w:rPr>
              <w:t xml:space="preserve">Limit AI projects to low-risk experiments. Invest 6–12 months in foundational readiness before committing to strategic AI programmes.</w:t>
            </w:r>
          </w:p>
        </w:tc>
      </w:tr>
      <w:tr>
        <w:tc>
          <w:tcPr>
            <w:tcW w:type="dxa" w:w="1600"/>
            <w:tcBorders>
              <w:top w:val="single" w:color="E5E7E9" w:sz="1"/>
              <w:left w:val="single" w:color="E5E7E9" w:sz="1"/>
              <w:bottom w:val="single" w:color="E5E7E9" w:sz="1"/>
              <w:right w:val="single" w:color="E5E7E9" w:sz="1"/>
            </w:tcBorders>
            <w:shd w:fill="FADBD8" w:val="clear"/>
            <w:tcMar>
              <w:top w:type="dxa" w:w="80"/>
              <w:left w:type="dxa" w:w="120"/>
              <w:bottom w:type="dxa" w:w="80"/>
              <w:right w:type="dxa" w:w="100"/>
            </w:tcMar>
          </w:tcPr>
          <w:p>
            <w:pPr>
              <w:spacing w:before="0" w:after="0"/>
            </w:pPr>
            <w:r>
              <w:rPr>
                <w:rFonts w:ascii="Georgia" w:cs="Georgia" w:eastAsia="Georgia" w:hAnsi="Georgia"/>
                <w:b/>
                <w:bCs/>
                <w:color w:val="C0392B"/>
                <w:sz w:val="19"/>
                <w:szCs w:val="19"/>
              </w:rPr>
              <w:t xml:space="preserve">Below 75</w:t>
            </w:r>
          </w:p>
        </w:tc>
        <w:tc>
          <w:tcPr>
            <w:tcW w:type="dxa" w:w="1800"/>
            <w:tcBorders>
              <w:top w:val="single" w:color="E5E7E9" w:sz="1"/>
              <w:left w:val="single" w:color="E5E7E9" w:sz="1"/>
              <w:bottom w:val="single" w:color="E5E7E9" w:sz="1"/>
              <w:right w:val="single" w:color="E5E7E9" w:sz="1"/>
            </w:tcBorders>
            <w:shd w:fill="FADBD8" w:val="clear"/>
            <w:tcMar>
              <w:top w:type="dxa" w:w="80"/>
              <w:left w:type="dxa" w:w="120"/>
              <w:bottom w:type="dxa" w:w="80"/>
              <w:right w:type="dxa" w:w="100"/>
            </w:tcMar>
          </w:tcPr>
          <w:p>
            <w:pPr>
              <w:spacing w:before="0" w:after="0"/>
            </w:pPr>
            <w:r>
              <w:rPr>
                <w:rFonts w:ascii="Georgia" w:cs="Georgia" w:eastAsia="Georgia" w:hAnsi="Georgia"/>
                <w:b/>
                <w:bCs/>
                <w:color w:val="C0392B"/>
                <w:sz w:val="19"/>
                <w:szCs w:val="19"/>
              </w:rPr>
              <w:t xml:space="preserve">Not ready</w:t>
            </w:r>
          </w:p>
        </w:tc>
        <w:tc>
          <w:tcPr>
            <w:tcW w:type="dxa" w:w="5960"/>
            <w:tcBorders>
              <w:top w:val="single" w:color="E5E7E9" w:sz="1"/>
              <w:left w:val="single" w:color="E5E7E9" w:sz="1"/>
              <w:bottom w:val="single" w:color="E5E7E9" w:sz="1"/>
              <w:right w:val="single" w:color="E5E7E9" w:sz="1"/>
            </w:tcBorders>
            <w:shd w:fill="FDFEFE" w:val="clear"/>
            <w:tcMar>
              <w:top w:type="dxa" w:w="80"/>
              <w:left w:type="dxa" w:w="120"/>
              <w:bottom w:type="dxa" w:w="80"/>
              <w:right w:type="dxa" w:w="100"/>
            </w:tcMar>
          </w:tcPr>
          <w:p>
            <w:pPr>
              <w:spacing w:before="0" w:after="0"/>
            </w:pPr>
            <w:r>
              <w:rPr>
                <w:rFonts w:ascii="Georgia" w:cs="Georgia" w:eastAsia="Georgia" w:hAnsi="Georgia"/>
                <w:color w:val="2C3E50"/>
                <w:sz w:val="19"/>
                <w:szCs w:val="19"/>
              </w:rPr>
              <w:t xml:space="preserve">Do not proceed with significant AI investment. Fundamental gaps in multiple dimensions will cause projects to fail. Build the foundations first.</w:t>
            </w:r>
          </w:p>
        </w:tc>
      </w:tr>
    </w:tbl>
    <w:p>
      <w:pPr>
        <w:spacing w:before="120" w:after="0"/>
      </w:pPr>
      <w:r>
        <w:rPr>
          <w:rFonts w:ascii="Georgia" w:cs="Georgia" w:eastAsia="Georgia" w:hAnsi="Georgia"/>
          <w:color w:val="2C3E50"/>
          <w:sz w:val="22"/>
          <w:szCs w:val="22"/>
        </w:rPr>
        <w:t xml:space="preserve"/>
      </w:r>
    </w:p>
    <w:p>
      <w:pPr>
        <w:spacing w:before="240" w:after="80"/>
      </w:pPr>
      <w:r>
        <w:rPr>
          <w:rFonts w:ascii="Georgia" w:cs="Georgia" w:eastAsia="Georgia" w:hAnsi="Georgia"/>
          <w:b/>
          <w:bCs/>
          <w:color w:val="2C3E50"/>
          <w:sz w:val="24"/>
          <w:szCs w:val="24"/>
        </w:rPr>
        <w:t xml:space="preserve">Dimension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2200"/>
        <w:gridCol w:w="1600"/>
        <w:gridCol w:w="1800"/>
        <w:gridCol w:w="2960"/>
      </w:tblGrid>
      <w:tr>
        <w:tc>
          <w:tcPr>
            <w:tcW w:type="dxa" w:w="4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w:t>
            </w:r>
          </w:p>
        </w:tc>
        <w:tc>
          <w:tcPr>
            <w:tcW w:type="dxa" w:w="4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w:t>
            </w:r>
          </w:p>
        </w:tc>
        <w:tc>
          <w:tcPr>
            <w:tcW w:type="dxa" w:w="22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Dimension</w:t>
            </w:r>
          </w:p>
        </w:tc>
        <w:tc>
          <w:tcPr>
            <w:tcW w:type="dxa" w:w="16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Max</w:t>
            </w:r>
          </w:p>
        </w:tc>
        <w:tc>
          <w:tcPr>
            <w:tcW w:type="dxa" w:w="18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Your score</w:t>
            </w:r>
          </w:p>
        </w:tc>
        <w:tc>
          <w:tcPr>
            <w:tcW w:type="dxa" w:w="296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aps/>
                <w:color w:val="FFFFFF"/>
                <w:sz w:val="17"/>
                <w:szCs w:val="17"/>
              </w:rPr>
              <w:t xml:space="preserve">Watch if below</w:t>
            </w:r>
          </w:p>
        </w:tc>
      </w:tr>
      <w:tr>
        <w:tc>
          <w:tcPr>
            <w:tcW w:type="dxa" w:w="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jc w:val="center"/>
            </w:pPr>
            <w:r>
              <w:rPr>
                <w:rFonts w:ascii="Georgia" w:cs="Georgia" w:eastAsia="Georgia" w:hAnsi="Georgia"/>
                <w:b/>
                <w:bCs/>
                <w:color w:val="C0392B"/>
                <w:sz w:val="19"/>
                <w:szCs w:val="19"/>
              </w:rPr>
              <w:t xml:space="preserve">1</w:t>
            </w:r>
          </w:p>
        </w:tc>
        <w:tc>
          <w:tcPr>
            <w:tcW w:type="dxa" w:w="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01</w:t>
            </w:r>
          </w:p>
        </w:tc>
        <w:tc>
          <w:tcPr>
            <w:tcW w:type="dxa" w:w="22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Strategy</w:t>
            </w:r>
          </w:p>
        </w:tc>
        <w:tc>
          <w:tcPr>
            <w:tcW w:type="dxa" w:w="16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25</w:t>
            </w:r>
          </w:p>
        </w:tc>
        <w:tc>
          <w:tcPr>
            <w:tcW w:type="dxa" w:w="1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 25</w:t>
            </w:r>
          </w:p>
        </w:tc>
        <w:tc>
          <w:tcPr>
            <w:tcW w:type="dxa" w:w="296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i/>
                <w:iCs/>
                <w:color w:val="566573"/>
                <w:sz w:val="17"/>
                <w:szCs w:val="17"/>
              </w:rPr>
              <w:t xml:space="preserve">Critical. No AI programme survives without strategic commitment.</w:t>
            </w:r>
          </w:p>
        </w:tc>
      </w:tr>
      <w:tr>
        <w:tc>
          <w:tcPr>
            <w:tcW w:type="dxa" w:w="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jc w:val="center"/>
            </w:pPr>
            <w:r>
              <w:rPr>
                <w:rFonts w:ascii="Georgia" w:cs="Georgia" w:eastAsia="Georgia" w:hAnsi="Georgia"/>
                <w:b/>
                <w:bCs/>
                <w:color w:val="C0392B"/>
                <w:sz w:val="19"/>
                <w:szCs w:val="19"/>
              </w:rPr>
              <w:t xml:space="preserve">2</w:t>
            </w:r>
          </w:p>
        </w:tc>
        <w:tc>
          <w:tcPr>
            <w:tcW w:type="dxa" w:w="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02</w:t>
            </w:r>
          </w:p>
        </w:tc>
        <w:tc>
          <w:tcPr>
            <w:tcW w:type="dxa" w:w="22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Data</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25</w:t>
            </w:r>
          </w:p>
        </w:tc>
        <w:tc>
          <w:tcPr>
            <w:tcW w:type="dxa" w:w="1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 25</w:t>
            </w:r>
          </w:p>
        </w:tc>
        <w:tc>
          <w:tcPr>
            <w:tcW w:type="dxa" w:w="296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i/>
                <w:iCs/>
                <w:color w:val="566573"/>
                <w:sz w:val="17"/>
                <w:szCs w:val="17"/>
              </w:rPr>
              <w:t xml:space="preserve">Critical. Data gaps are the #1 cause of AI project failure.</w:t>
            </w:r>
          </w:p>
        </w:tc>
      </w:tr>
      <w:tr>
        <w:tc>
          <w:tcPr>
            <w:tcW w:type="dxa" w:w="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jc w:val="center"/>
            </w:pPr>
            <w:r>
              <w:rPr>
                <w:rFonts w:ascii="Georgia" w:cs="Georgia" w:eastAsia="Georgia" w:hAnsi="Georgia"/>
                <w:b/>
                <w:bCs/>
                <w:color w:val="C0392B"/>
                <w:sz w:val="19"/>
                <w:szCs w:val="19"/>
              </w:rPr>
              <w:t xml:space="preserve">3</w:t>
            </w:r>
          </w:p>
        </w:tc>
        <w:tc>
          <w:tcPr>
            <w:tcW w:type="dxa" w:w="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03</w:t>
            </w:r>
          </w:p>
        </w:tc>
        <w:tc>
          <w:tcPr>
            <w:tcW w:type="dxa" w:w="22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Infrastructure</w:t>
            </w:r>
          </w:p>
        </w:tc>
        <w:tc>
          <w:tcPr>
            <w:tcW w:type="dxa" w:w="16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25</w:t>
            </w:r>
          </w:p>
        </w:tc>
        <w:tc>
          <w:tcPr>
            <w:tcW w:type="dxa" w:w="1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 25</w:t>
            </w:r>
          </w:p>
        </w:tc>
        <w:tc>
          <w:tcPr>
            <w:tcW w:type="dxa" w:w="296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i/>
                <w:iCs/>
                <w:color w:val="566573"/>
                <w:sz w:val="17"/>
                <w:szCs w:val="17"/>
              </w:rPr>
              <w:t xml:space="preserve">High. Infrastructure gaps surface late and are expensive to fix.</w:t>
            </w:r>
          </w:p>
        </w:tc>
      </w:tr>
      <w:tr>
        <w:tc>
          <w:tcPr>
            <w:tcW w:type="dxa" w:w="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jc w:val="center"/>
            </w:pPr>
            <w:r>
              <w:rPr>
                <w:rFonts w:ascii="Georgia" w:cs="Georgia" w:eastAsia="Georgia" w:hAnsi="Georgia"/>
                <w:b/>
                <w:bCs/>
                <w:color w:val="C0392B"/>
                <w:sz w:val="19"/>
                <w:szCs w:val="19"/>
              </w:rPr>
              <w:t xml:space="preserve">4</w:t>
            </w:r>
          </w:p>
        </w:tc>
        <w:tc>
          <w:tcPr>
            <w:tcW w:type="dxa" w:w="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04</w:t>
            </w:r>
          </w:p>
        </w:tc>
        <w:tc>
          <w:tcPr>
            <w:tcW w:type="dxa" w:w="22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Talent</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25</w:t>
            </w:r>
          </w:p>
        </w:tc>
        <w:tc>
          <w:tcPr>
            <w:tcW w:type="dxa" w:w="1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 25</w:t>
            </w:r>
          </w:p>
        </w:tc>
        <w:tc>
          <w:tcPr>
            <w:tcW w:type="dxa" w:w="296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i/>
                <w:iCs/>
                <w:color w:val="566573"/>
                <w:sz w:val="17"/>
                <w:szCs w:val="17"/>
              </w:rPr>
              <w:t xml:space="preserve">High. Missing roles cannot be hired fast enough to save a committed project.</w:t>
            </w:r>
          </w:p>
        </w:tc>
      </w:tr>
      <w:tr>
        <w:tc>
          <w:tcPr>
            <w:tcW w:type="dxa" w:w="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jc w:val="center"/>
            </w:pPr>
            <w:r>
              <w:rPr>
                <w:rFonts w:ascii="Georgia" w:cs="Georgia" w:eastAsia="Georgia" w:hAnsi="Georgia"/>
                <w:b/>
                <w:bCs/>
                <w:color w:val="C0392B"/>
                <w:sz w:val="19"/>
                <w:szCs w:val="19"/>
              </w:rPr>
              <w:t xml:space="preserve">5</w:t>
            </w:r>
          </w:p>
        </w:tc>
        <w:tc>
          <w:tcPr>
            <w:tcW w:type="dxa" w:w="4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05</w:t>
            </w:r>
          </w:p>
        </w:tc>
        <w:tc>
          <w:tcPr>
            <w:tcW w:type="dxa" w:w="22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Governance</w:t>
            </w:r>
          </w:p>
        </w:tc>
        <w:tc>
          <w:tcPr>
            <w:tcW w:type="dxa" w:w="160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25</w:t>
            </w:r>
          </w:p>
        </w:tc>
        <w:tc>
          <w:tcPr>
            <w:tcW w:type="dxa" w:w="1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 25</w:t>
            </w:r>
          </w:p>
        </w:tc>
        <w:tc>
          <w:tcPr>
            <w:tcW w:type="dxa" w:w="2960"/>
            <w:tcBorders>
              <w:top w:val="single" w:color="E5E7E9" w:sz="1"/>
              <w:left w:val="single" w:color="E5E7E9" w:sz="1"/>
              <w:bottom w:val="single" w:color="E5E7E9" w:sz="1"/>
              <w:right w:val="single" w:color="E5E7E9" w:sz="1"/>
            </w:tcBorders>
            <w:shd w:fill="FDFEFE" w:val="clear"/>
            <w:tcMar>
              <w:top w:type="dxa" w:w="80"/>
              <w:left w:type="dxa" w:w="100"/>
              <w:bottom w:type="dxa" w:w="80"/>
              <w:right w:type="dxa" w:w="80"/>
            </w:tcMar>
          </w:tcPr>
          <w:p>
            <w:pPr>
              <w:spacing w:before="0" w:after="0"/>
            </w:pPr>
            <w:r>
              <w:rPr>
                <w:rFonts w:ascii="Georgia" w:cs="Georgia" w:eastAsia="Georgia" w:hAnsi="Georgia"/>
                <w:i/>
                <w:iCs/>
                <w:color w:val="566573"/>
                <w:sz w:val="17"/>
                <w:szCs w:val="17"/>
              </w:rPr>
              <w:t xml:space="preserve">Critical. Low scores here create regulatory and reputational exposure.</w:t>
            </w:r>
          </w:p>
        </w:tc>
      </w:tr>
      <w:tr>
        <w:tc>
          <w:tcPr>
            <w:tcW w:type="dxa" w:w="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jc w:val="center"/>
            </w:pPr>
            <w:r>
              <w:rPr>
                <w:rFonts w:ascii="Georgia" w:cs="Georgia" w:eastAsia="Georgia" w:hAnsi="Georgia"/>
                <w:b/>
                <w:bCs/>
                <w:color w:val="C0392B"/>
                <w:sz w:val="19"/>
                <w:szCs w:val="19"/>
              </w:rPr>
              <w:t xml:space="preserve">6</w:t>
            </w:r>
          </w:p>
        </w:tc>
        <w:tc>
          <w:tcPr>
            <w:tcW w:type="dxa" w:w="4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06</w:t>
            </w:r>
          </w:p>
        </w:tc>
        <w:tc>
          <w:tcPr>
            <w:tcW w:type="dxa" w:w="22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bCs/>
                <w:color w:val="2C3E50"/>
                <w:sz w:val="19"/>
                <w:szCs w:val="19"/>
              </w:rPr>
              <w:t xml:space="preserve">Culture</w:t>
            </w:r>
          </w:p>
        </w:tc>
        <w:tc>
          <w:tcPr>
            <w:tcW w:type="dxa" w:w="16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b w:val="false"/>
                <w:bCs w:val="false"/>
                <w:color w:val="566573"/>
                <w:sz w:val="19"/>
                <w:szCs w:val="19"/>
              </w:rPr>
              <w:t xml:space="preserve">25</w:t>
            </w:r>
          </w:p>
        </w:tc>
        <w:tc>
          <w:tcPr>
            <w:tcW w:type="dxa" w:w="1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 25</w:t>
            </w:r>
          </w:p>
        </w:tc>
        <w:tc>
          <w:tcPr>
            <w:tcW w:type="dxa" w:w="296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i/>
                <w:iCs/>
                <w:color w:val="566573"/>
                <w:sz w:val="17"/>
                <w:szCs w:val="17"/>
              </w:rPr>
              <w:t xml:space="preserve">High. Cultural resistance will undermine technically excellent systems.</w:t>
            </w:r>
          </w:p>
        </w:tc>
      </w:tr>
      <w:tr>
        <w:tc>
          <w:tcPr>
            <w:tcW w:type="dxa" w:w="4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jc w:val="center"/>
            </w:pPr>
            <w:r>
              <w:rPr>
                <w:rFonts w:ascii="Georgia" w:cs="Georgia" w:eastAsia="Georgia" w:hAnsi="Georgia"/>
                <w:b/>
                <w:bCs/>
                <w:color w:val="FFFFFF"/>
                <w:sz w:val="19"/>
                <w:szCs w:val="19"/>
              </w:rPr>
              <w:t xml:space="preserve">—</w:t>
            </w:r>
          </w:p>
        </w:tc>
        <w:tc>
          <w:tcPr>
            <w:tcW w:type="dxa" w:w="4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color w:val="FFFFFF"/>
                <w:sz w:val="19"/>
                <w:szCs w:val="19"/>
              </w:rPr>
              <w:t xml:space="preserve">—</w:t>
            </w:r>
          </w:p>
        </w:tc>
        <w:tc>
          <w:tcPr>
            <w:tcW w:type="dxa" w:w="22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olor w:val="FFFFFF"/>
                <w:sz w:val="19"/>
                <w:szCs w:val="19"/>
              </w:rPr>
              <w:t xml:space="preserve">TOTAL</w:t>
            </w:r>
          </w:p>
        </w:tc>
        <w:tc>
          <w:tcPr>
            <w:tcW w:type="dxa" w:w="160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b/>
                <w:bCs/>
                <w:color w:val="FFFFFF"/>
                <w:sz w:val="19"/>
                <w:szCs w:val="19"/>
              </w:rPr>
              <w:t xml:space="preserve">150</w:t>
            </w:r>
          </w:p>
        </w:tc>
        <w:tc>
          <w:tcPr>
            <w:tcW w:type="dxa" w:w="1800"/>
            <w:tcBorders>
              <w:top w:val="single" w:color="E5E7E9" w:sz="1"/>
              <w:left w:val="single" w:color="E5E7E9" w:sz="1"/>
              <w:bottom w:val="single" w:color="E5E7E9" w:sz="1"/>
              <w:right w:val="single" w:color="E5E7E9" w:sz="1"/>
            </w:tcBorders>
            <w:shd w:fill="F4F6F7" w:val="clear"/>
            <w:tcMar>
              <w:top w:type="dxa" w:w="80"/>
              <w:left w:type="dxa" w:w="100"/>
              <w:bottom w:type="dxa" w:w="80"/>
              <w:right w:type="dxa" w:w="80"/>
            </w:tcMar>
          </w:tcPr>
          <w:p>
            <w:pPr>
              <w:spacing w:before="0" w:after="0"/>
            </w:pPr>
            <w:r>
              <w:rPr>
                <w:rFonts w:ascii="Georgia" w:cs="Georgia" w:eastAsia="Georgia" w:hAnsi="Georgia"/>
                <w:color w:val="566573"/>
                <w:sz w:val="19"/>
                <w:szCs w:val="19"/>
              </w:rPr>
              <w:t xml:space="preserve">      / 150</w:t>
            </w:r>
          </w:p>
        </w:tc>
        <w:tc>
          <w:tcPr>
            <w:tcW w:type="dxa" w:w="2960"/>
            <w:tcBorders>
              <w:top w:val="single" w:color="E5E7E9" w:sz="1"/>
              <w:left w:val="single" w:color="E5E7E9" w:sz="1"/>
              <w:bottom w:val="single" w:color="E5E7E9" w:sz="1"/>
              <w:right w:val="single" w:color="E5E7E9" w:sz="1"/>
            </w:tcBorders>
            <w:shd w:fill="1C2833" w:val="clear"/>
            <w:tcMar>
              <w:top w:type="dxa" w:w="80"/>
              <w:left w:type="dxa" w:w="100"/>
              <w:bottom w:type="dxa" w:w="80"/>
              <w:right w:type="dxa" w:w="80"/>
            </w:tcMar>
          </w:tcPr>
          <w:p>
            <w:pPr>
              <w:spacing w:before="0" w:after="0"/>
            </w:pPr>
            <w:r>
              <w:rPr>
                <w:rFonts w:ascii="Georgia" w:cs="Georgia" w:eastAsia="Georgia" w:hAnsi="Georgia"/>
                <w:i/>
                <w:iCs/>
                <w:color w:val="FFFFFF"/>
                <w:sz w:val="17"/>
                <w:szCs w:val="17"/>
              </w:rPr>
              <w:t xml:space="preserve">Minimum 90/150 required. No dimension below 12/25.</w:t>
            </w:r>
          </w:p>
        </w:tc>
      </w:tr>
    </w:tbl>
    <w:p>
      <w:pPr>
        <w:spacing w:before="120" w:after="0"/>
      </w:pPr>
      <w:r>
        <w:rPr>
          <w:rFonts w:ascii="Georgia" w:cs="Georgia" w:eastAsia="Georgia" w:hAnsi="Georgia"/>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E5E7E9" w:sz="1"/>
              <w:bottom w:val="single" w:color="E5E7E9" w:sz="1"/>
              <w:right w:val="single" w:color="E5E7E9" w:sz="1"/>
            </w:tcBorders>
            <w:shd w:fill="F4F6F7" w:val="clear"/>
            <w:tcMar>
              <w:top w:type="dxa" w:w="160"/>
              <w:left w:type="dxa" w:w="220"/>
              <w:bottom w:type="dxa" w:w="160"/>
              <w:right w:type="dxa" w:w="220"/>
            </w:tcMar>
          </w:tcPr>
          <w:p>
            <w:pPr>
              <w:spacing w:before="0" w:after="80"/>
            </w:pPr>
            <w:r>
              <w:rPr>
                <w:rFonts w:ascii="Georgia" w:cs="Georgia" w:eastAsia="Georgia" w:hAnsi="Georgia"/>
                <w:b/>
                <w:bCs/>
                <w:color w:val="C0392B"/>
                <w:sz w:val="21"/>
                <w:szCs w:val="21"/>
              </w:rPr>
              <w:t xml:space="preserve">Next step after completing this assessment</w:t>
            </w:r>
          </w:p>
          <w:p>
            <w:pPr>
              <w:spacing w:before="0" w:after="0"/>
            </w:pPr>
            <w:r>
              <w:rPr>
                <w:rFonts w:ascii="Georgia" w:cs="Georgia" w:eastAsia="Georgia" w:hAnsi="Georgia"/>
                <w:color w:val="2C3E50"/>
                <w:sz w:val="21"/>
                <w:szCs w:val="21"/>
              </w:rPr>
              <w:t xml:space="preserve">If your score is 90/150 or above: proceed to the AI Project Qualification Assessment for each specific use case you are considering.
If your score is below 90: identify the two or three dimensions with the lowest scores. These are your foundational gaps. Build a 90-day readiness plan for each gap before running the Project Qualification Assessment.
Both assessments must be completed and scored before the SpanForge Discover Gate can be passed and the Design phase can begin.</w:t>
            </w:r>
          </w:p>
        </w:tc>
      </w:tr>
    </w:tbl>
    <w:p>
      <w:pPr>
        <w:spacing w:before="200" w:after="0"/>
      </w:pPr>
      <w:r>
        <w:rPr>
          <w:rFonts w:ascii="Georgia" w:cs="Georgia" w:eastAsia="Georgia" w:hAnsi="Georgia"/>
          <w:color w:val="2C3E50"/>
          <w:sz w:val="22"/>
          <w:szCs w:val="22"/>
        </w:rPr>
        <w:t xml:space="preserve"/>
      </w:r>
    </w:p>
    <w:p>
      <w:pPr>
        <w:jc w:val="center"/>
      </w:pPr>
      <w:r>
        <w:rPr>
          <w:rFonts w:ascii="Georgia" w:cs="Georgia" w:eastAsia="Georgia" w:hAnsi="Georgia"/>
          <w:i/>
          <w:iCs/>
          <w:color w:val="566573"/>
          <w:sz w:val="20"/>
          <w:szCs w:val="20"/>
        </w:rPr>
        <w:t xml:space="preserve">SpanForge AI Organisational Readiness Assessment  —  Discover Phase  —  getspanforge.com</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800"/>
      <w:gridCol w:w="4040"/>
    </w:tblGrid>
    <w:tr>
      <w:tc>
        <w:tcPr>
          <w:tcW w:type="dxa" w:w="5800"/>
          <w:tcBorders>
            <w:top w:val="single" w:color="E5E7E9" w:sz="2"/>
            <w:left w:val="none" w:color="FFFFFF" w:sz="0"/>
            <w:bottom w:val="none" w:color="FFFFFF" w:sz="0"/>
            <w:right w:val="none" w:color="FFFFFF" w:sz="0"/>
          </w:tcBorders>
          <w:shd w:fill="FFFFFF" w:val="clear"/>
          <w:tcMar>
            <w:top w:type="dxa" w:w="60"/>
            <w:left w:type="dxa" w:w="0"/>
            <w:bottom w:type="dxa" w:w="0"/>
            <w:right w:type="dxa" w:w="0"/>
          </w:tcMar>
        </w:tcPr>
        <w:p>
          <w:pPr>
            <w:spacing w:before="0" w:after="0"/>
          </w:pPr>
          <w:r>
            <w:rPr>
              <w:rFonts w:ascii="Georgia" w:cs="Georgia" w:eastAsia="Georgia" w:hAnsi="Georgia"/>
              <w:color w:val="566573"/>
              <w:sz w:val="17"/>
              <w:szCs w:val="17"/>
            </w:rPr>
            <w:t xml:space="preserve">SpanForge Discover Phase  —  getspanforge.com</w:t>
          </w:r>
        </w:p>
      </w:tc>
      <w:tc>
        <w:tcPr>
          <w:tcW w:type="dxa" w:w="4040"/>
          <w:tcBorders>
            <w:top w:val="single" w:color="E5E7E9" w:sz="2"/>
            <w:left w:val="none" w:color="FFFFFF" w:sz="0"/>
            <w:bottom w:val="none" w:color="FFFFFF" w:sz="0"/>
            <w:right w:val="none" w:color="FFFFFF" w:sz="0"/>
          </w:tcBorders>
          <w:shd w:fill="FFFFFF" w:val="clear"/>
          <w:tcMar>
            <w:top w:type="dxa" w:w="60"/>
            <w:left w:type="dxa" w:w="0"/>
            <w:bottom w:type="dxa" w:w="0"/>
            <w:right w:type="dxa" w:w="0"/>
          </w:tcMar>
        </w:tcPr>
        <w:p>
          <w:pPr>
            <w:spacing w:before="0" w:after="0"/>
            <w:jc w:val="right"/>
          </w:pPr>
          <w:r>
            <w:rPr>
              <w:rFonts w:ascii="Georgia" w:cs="Georgia" w:eastAsia="Georgia" w:hAnsi="Georgia"/>
              <w:color w:val="566573"/>
              <w:sz w:val="17"/>
              <w:szCs w:val="17"/>
            </w:rPr>
            <w:t xml:space="preserve">Page </w:t>
          </w:r>
          <w:r>
            <w:rPr>
              <w:rFonts w:ascii="Georgia" w:cs="Georgia" w:eastAsia="Georgia" w:hAnsi="Georgia"/>
              <w:color w:val="566573"/>
              <w:sz w:val="17"/>
              <w:szCs w:val="17"/>
            </w:rPr>
            <w:fldChar w:fldCharType="begin"/>
            <w:instrText xml:space="preserve">PAGE</w:instrText>
            <w:fldChar w:fldCharType="separate"/>
            <w:fldChar w:fldCharType="end"/>
          </w:r>
          <w:r>
            <w:rPr>
              <w:rFonts w:ascii="Georgia" w:cs="Georgia" w:eastAsia="Georgia" w:hAnsi="Georgia"/>
              <w:color w:val="566573"/>
              <w:sz w:val="17"/>
              <w:szCs w:val="17"/>
            </w:rPr>
            <w:t xml:space="preserve"> of </w:t>
          </w:r>
          <w:r>
            <w:rPr>
              <w:rFonts w:ascii="Georgia" w:cs="Georgia" w:eastAsia="Georgia" w:hAnsi="Georgia"/>
              <w:color w:val="566573"/>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800"/>
      <w:gridCol w:w="4040"/>
    </w:tblGrid>
    <w:tr>
      <w:tc>
        <w:tcPr>
          <w:tcW w:type="dxa" w:w="5800"/>
          <w:tcBorders>
            <w:top w:val="none" w:color="FFFFFF" w:sz="0"/>
            <w:left w:val="none" w:color="FFFFFF" w:sz="0"/>
            <w:bottom w:val="single" w:color="C0392B" w:sz="3"/>
            <w:right w:val="none" w:color="FFFFFF" w:sz="0"/>
          </w:tcBorders>
          <w:shd w:fill="FFFFFF" w:val="clear"/>
          <w:tcMar>
            <w:top w:type="dxa" w:w="0"/>
            <w:left w:type="dxa" w:w="0"/>
            <w:bottom w:type="dxa" w:w="60"/>
            <w:right w:type="dxa" w:w="0"/>
          </w:tcMar>
        </w:tcPr>
        <w:p>
          <w:pPr>
            <w:spacing w:before="0" w:after="0"/>
          </w:pPr>
          <w:r>
            <w:rPr>
              <w:rFonts w:ascii="Georgia" w:cs="Georgia" w:eastAsia="Georgia" w:hAnsi="Georgia"/>
              <w:b/>
              <w:bCs/>
              <w:color w:val="C0392B"/>
              <w:sz w:val="18"/>
              <w:szCs w:val="18"/>
            </w:rPr>
            <w:t xml:space="preserve">SpanForge</w:t>
          </w:r>
          <w:r>
            <w:rPr>
              <w:rFonts w:ascii="Georgia" w:cs="Georgia" w:eastAsia="Georgia" w:hAnsi="Georgia"/>
              <w:color w:val="566573"/>
              <w:sz w:val="18"/>
              <w:szCs w:val="18"/>
            </w:rPr>
            <w:t xml:space="preserve">  —  AI Organisational Readiness Assessment</w:t>
          </w:r>
        </w:p>
      </w:tc>
      <w:tc>
        <w:tcPr>
          <w:tcW w:type="dxa" w:w="4040"/>
          <w:tcBorders>
            <w:top w:val="none" w:color="FFFFFF" w:sz="0"/>
            <w:left w:val="none" w:color="FFFFFF" w:sz="0"/>
            <w:bottom w:val="single" w:color="C0392B" w:sz="3"/>
            <w:right w:val="none" w:color="FFFFFF" w:sz="0"/>
          </w:tcBorders>
          <w:shd w:fill="FFFFFF" w:val="clear"/>
          <w:tcMar>
            <w:top w:type="dxa" w:w="0"/>
            <w:left w:type="dxa" w:w="0"/>
            <w:bottom w:type="dxa" w:w="60"/>
            <w:right w:type="dxa" w:w="0"/>
          </w:tcMar>
        </w:tcPr>
        <w:p>
          <w:pPr>
            <w:spacing w:before="0" w:after="0"/>
            <w:jc w:val="right"/>
          </w:pPr>
          <w:r>
            <w:rPr>
              <w:rFonts w:ascii="Georgia" w:cs="Georgia" w:eastAsia="Georgia" w:hAnsi="Georgia"/>
              <w:color w:val="566573"/>
              <w:sz w:val="18"/>
              <w:szCs w:val="18"/>
            </w:rPr>
            <w:t xml:space="preserve">Discover Phase  |  getspanforge.com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2026-03-28T16:18:36.215Z</dcterms:created>
  <dcterms:modified xsi:type="dcterms:W3CDTF">2026-03-28T16:18:36.216Z</dcterms:modified>
</cp:coreProperties>
</file>

<file path=docProps/custom.xml><?xml version="1.0" encoding="utf-8"?>
<Properties xmlns="http://schemas.openxmlformats.org/officeDocument/2006/custom-properties" xmlns:vt="http://schemas.openxmlformats.org/officeDocument/2006/docPropsVTypes"/>
</file>