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0" w:before="60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SPANFORGE</w:t>
      </w:r>
    </w:p>
    <w:p>
      <w:pPr>
        <w:shd w:fill="1B2A4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C8860A"/>
          <w:sz w:val="36"/>
          <w:szCs w:val="36"/>
        </w:rPr>
        <w:t xml:space="preserve">v1.1 Addendum — Gap Analysis</w:t>
      </w:r>
    </w:p>
    <w:p>
      <w:pPr>
        <w:shd w:fill="1B2A4A" w:val="clear"/>
        <w:spacing w:after="240" w:before="0"/>
        <w:jc w:val="center"/>
      </w:pPr>
      <w:r>
        <w:rPr>
          <w:rFonts w:ascii="Arial" w:cs="Arial" w:eastAsia="Arial" w:hAnsi="Arial"/>
          <w:color w:val="D6E4F7"/>
          <w:sz w:val="26"/>
          <w:szCs w:val="26"/>
        </w:rPr>
        <w:t xml:space="preserve">What the v1.1 Spec is missing to make SpanForge rock solid</w:t>
      </w:r>
    </w:p>
    <w:p>
      <w:pPr>
        <w:shd w:fill="2E5FA3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Companion to: SpanForge v1.1 Compliance Layer — Implementation Specification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Document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SpanForge v1.1 — Gap Analysis &amp; Addendum Specifications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Companion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SpanForge v1.1 Compliance Layer Spec (primary document)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DRAFT — for implementer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codebase review of v1.0.x against v1.1 spec gaps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left w:val="single" w:color="C8860A" w:sz="24" w:space="1"/>
        </w:pBdr>
        <w:shd w:fill="F5F7FA" w:val="clear"/>
        <w:spacing w:after="200" w:before="0"/>
        <w:ind w:left="360" w:right="360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This document identifies eight additional specification areas not covered in the primary v1.1 spec. Each gap was identified through direct code review of the v1.0.x codebase. These are not wish-list items — each one is a real weakness that would be exposed in production use by a regulated-industry customer.</w:t>
      </w:r>
    </w:p>
    <w:p>
      <w:r>
        <w:br w:type="page"/>
      </w:r>
    </w:p>
    <w:p>
      <w:pPr>
        <w:shd w:fill="1B2A4A" w:val="clear"/>
        <w:spacing w:after="0" w:before="240"/>
        <w:ind w:left="180" w:right="180"/>
      </w:pPr>
      <w:r>
        <w:rPr>
          <w:rFonts w:ascii="Arial" w:cs="Arial" w:eastAsia="Arial" w:hAnsi="Arial"/>
          <w:b/>
          <w:bCs/>
          <w:color w:val="C8860A"/>
          <w:sz w:val="22"/>
          <w:szCs w:val="22"/>
        </w:rPr>
        <w:t xml:space="preserve">SECTION 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GAP SUMMARY</w:t>
      </w:r>
    </w:p>
    <w:p>
      <w:pPr>
        <w:shd w:fill="2E5FA3" w:val="clear"/>
        <w:spacing w:after="200" w:before="0"/>
        <w:ind w:left="18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Eight areas the v1.1 spec does not yet address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following table summarises all eight gaps. Sections 2–9 specify each in detail. Priority ratings follow the same P0/P1/P2 convention as the primary spec.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260"/>
        <w:gridCol w:w="1100"/>
        <w:gridCol w:w="15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if Missing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Signing key security &amp; rotation lifecycle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Signing key stored as plaintext env var. No automated rotation, no key expiry, no key compromise response playbook. First thing a security auditor checks.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Structured audit log schema for the _server.py viewer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Local trace viewer shows raw JSON. Compliance officer cannot navigate it. No filtering by regulation, no HMAC verification status column.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3–4 days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PII scan on inbound data — not just tagged fields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contains_pii() only finds Redactable wrappers. Raw strings with email/SSN/credit card in payload pass through undetected. GDPR/HIPAA buyers will test this.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3–5 days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Multi-tenant key isolation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org_id field exists on Event but one SPANFORGE_SIGNING_KEY signs everything. Multi-tenant deployments cannot isolate audit chains per org/customer.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Schema migration for long-lived audit logs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migrate.py has a stub NotImplementedError. A v1.0 audit log read by v1.1+ code will break. Compliance requires audit logs readable for 7+ years.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Async-safe signing for high-throughput agents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AuditStream.append() is synchronous and not async-safe. High-throughput async agents serialise through a lock, creating a bottleneck.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Conformance test suite (language-neutral)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SDK-SPEC-0001.md exists but no standalone conformance tests. Without them, any future TypeScript/Go SDK will drift from the standard silently.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4–5 days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Operational runbook — incident response for compliance events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documented response procedure for: chain tampering detected, PII leak in audit log, HMAC key compromise. A compliance sale requires this.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 days</w:t>
            </w:r>
          </w:p>
        </w:tc>
      </w:tr>
    </w:tbl>
    <w:p>
      <w:r>
        <w:br w:type="page"/>
      </w:r>
    </w:p>
    <w:p>
      <w:pPr>
        <w:shd w:fill="1B2A4A" w:val="clear"/>
        <w:spacing w:after="0" w:before="240"/>
        <w:ind w:left="180" w:right="180"/>
      </w:pPr>
      <w:r>
        <w:rPr>
          <w:rFonts w:ascii="Arial" w:cs="Arial" w:eastAsia="Arial" w:hAnsi="Arial"/>
          <w:b/>
          <w:bCs/>
          <w:color w:val="C8860A"/>
          <w:sz w:val="22"/>
          <w:szCs w:val="22"/>
        </w:rPr>
        <w:t xml:space="preserve">SECTION 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GA-01 — SIGNING KEY SECURITY &amp; ROTATION LIFECYCLE</w:t>
      </w:r>
    </w:p>
    <w:p>
      <w:pPr>
        <w:shd w:fill="2E5FA3" w:val="clear"/>
        <w:spacing w:after="200" w:before="0"/>
        <w:ind w:left="18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The HMAC chain is only as strong as key management around it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Problem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HMAC audit chain is the core compliance differentiator. But the signing key is read from SPANFORGE_SIGNING_KEY as a plaintext environment variable. There is no key expiry, no automated rotation schedule, no detection of key compromise, and no procedure for what happens when a key is leaked. A security auditor reviewing a SOC2 or HIPAA deployment will raise this immediately.</w:t>
      </w:r>
    </w:p>
    <w:p>
      <w:pPr>
        <w:pBdr>
          <w:left w:val="single" w:color="C8860A" w:sz="18" w:space="1"/>
        </w:pBdr>
        <w:shd w:fill="FEF9C3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GAP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key rotation mechanism exists in AuditStream.rotate_key() but it is entirely manual with no scheduling, no reminder, no expiry enforcement, and no key strength requirements.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Required Additions</w:t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GA-01-A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Key strength validation on configure()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When a signing_key is provided, validate minimum strength before accepting: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- Minimum 32 characters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- Must not be the literal string 'spanforge-default' or any known-weak value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- Must contain mixed character classes (letters + digits or symbols)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If key fails validation, raise SigningError with clear remediation message.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SPANFORGE_SIGNING_KEY_MIN_BITS env var for configurable minimum (default: 256-bit equivalent).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GA-01-B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Key expiry and rotation schedule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New config field: signing_key_expires_at: str | None  (ISO-8601 date)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SPANFORGE_SIGNING_KEY_EXPIRES_AT env var.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If set and current date &gt;= expiry: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- Emit EventType.AUDIT_KEY_EXPIRED event into the chain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- Log WARNING on every subsequent sign() call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- If on_export_error='raise', raise SigningError('Key expired')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If set and expiry is within 7 days: emit WARNING log daily.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GA-01-C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Key compromise response: emergency rotation CLI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spanforge audit rotate-key --old-key $OLD --new-key $NEW --input audit.jsonl --output audit-rotated.jsonl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Reads full chain, inserts AUDIT_KEY_ROTATED event at current head, re-verifies chain with new key.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Prints: N events re-signed, chain valid, output written.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Does NOT modify in-place. Operator replaces file manually.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Designed to be runnable within minutes of a key compromise being detected.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GA-01-D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Key derivation for multi-environment isolation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Optional: configure(signing_key_context='production') derives a context-specific key using HKDF-SHA256: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derived_key = HKDF(master_key, info='spanforge-v1:' + context)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Prevents production and staging audit chains from being verifiable with each other's keys.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stdlib only: use hashlib.pbkdf2_hmac for key derivation (HKDF not in stdlib; use PBKDF2 as safe alternative).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F5F7F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Acceptance: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Weak key raises SigningError on configure(). Expired key emits warning event. rotate-key CLI produces valid verified chain. Context-derived keys produce different signatures for same payload.</w:t>
      </w:r>
    </w:p>
    <w:p>
      <w:r>
        <w:br w:type="page"/>
      </w:r>
    </w:p>
    <w:p>
      <w:pPr>
        <w:shd w:fill="1B2A4A" w:val="clear"/>
        <w:spacing w:after="0" w:before="240"/>
        <w:ind w:left="180" w:right="180"/>
      </w:pPr>
      <w:r>
        <w:rPr>
          <w:rFonts w:ascii="Arial" w:cs="Arial" w:eastAsia="Arial" w:hAnsi="Arial"/>
          <w:b/>
          <w:bCs/>
          <w:color w:val="C8860A"/>
          <w:sz w:val="22"/>
          <w:szCs w:val="22"/>
        </w:rPr>
        <w:t xml:space="preserve">SECTION 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GA-02 — COMPLIANCE VIEW IN THE LOCAL TRACE VIEWER</w:t>
      </w:r>
    </w:p>
    <w:p>
      <w:pPr>
        <w:shd w:fill="2E5FA3" w:val="clear"/>
        <w:spacing w:after="200" w:before="0"/>
        <w:ind w:left="18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The _server.py viewer exists but is audit-blind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Problem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spanforge serve launches a local web trace viewer (TraceViewerServer in _server.py). It has GET /traces, GET /events, and a basic SPA. But it shows raw event JSON with no compliance-oriented views. A compliance officer doing a spot check needs: HMAC verification status per event, PII redaction status, event type filtering by compliance namespace, and a chain integrity indicator. Without this, the viewer is only useful for developers.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Required Additions</w:t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GA-02-A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New API endpoint: GET /compliance/summary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Returns a JSON compliance summary for events currently in the TraceStore: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{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chain_valid: bool,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chain_event_count: int,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first_tampered_event_id: str | null,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pii_unredacted_count: int,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tombstone_count: int,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last_verified_at: ISO-8601 string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}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Runs verify_chain() and contains_pii() scan on request.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Protected: only available when SPANFORGE_SIGNING_KEY is set.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GA-02-B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New API endpoint: GET /compliance/events?type=redact|audit|guard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Filters events to compliance-relevant namespaces only.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type param: 'redact' = llm.redact.*, 'audit' = llm.audit.*, 'guard' = llm.guard.*, 'all_compliance' = union.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Response includes per-event hmac_valid: bool field (verification result).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Pagination: ?limit=100&amp;offset=0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GA-02-C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Chain integrity banner in SPA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The embedded SPA (spanforge serve) gains a top-level banner: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Green: 'Chain intact — N events verified'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Red: 'Chain violation detected — event &lt;id&gt; tampered'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Yellow: 'Signing key not configured — chain unverified'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Banner polls GET /compliance/summary every 30 seconds.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No external JS dependencies — embedded HTML/CSS/JS only (stdlib http.server constraint).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F5F7F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Acceptance: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GET /compliance/summary returns correct chain_valid. Tampered event appears as first_tampered_event_id. SPA banner turns red when chain is broken. Filtering by type=redact returns only llm.redact.* events.</w:t>
      </w:r>
    </w:p>
    <w:p>
      <w:r>
        <w:br w:type="page"/>
      </w:r>
    </w:p>
    <w:p>
      <w:pPr>
        <w:shd w:fill="1B2A4A" w:val="clear"/>
        <w:spacing w:after="0" w:before="240"/>
        <w:ind w:left="180" w:right="180"/>
      </w:pPr>
      <w:r>
        <w:rPr>
          <w:rFonts w:ascii="Arial" w:cs="Arial" w:eastAsia="Arial" w:hAnsi="Arial"/>
          <w:b/>
          <w:bCs/>
          <w:color w:val="C8860A"/>
          <w:sz w:val="22"/>
          <w:szCs w:val="22"/>
        </w:rPr>
        <w:t xml:space="preserve">SECTION 4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GA-03 — PII SCAN ON RAW PAYLOAD STRINGS</w:t>
      </w:r>
    </w:p>
    <w:p>
      <w:pPr>
        <w:shd w:fill="2E5FA3" w:val="clear"/>
        <w:spacing w:after="200" w:before="0"/>
        <w:ind w:left="18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The redaction system only finds what it already knows about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Problem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current PII system is opt-in: a field must be explicitly wrapped in Redactable() to participate. contains_pii() only checks for Redactable instances — it does not scan raw string values for patterns that look like PII. An agent that logs a raw API response containing email addresses, credit card numbers, or SSNs will pass contains_pii() as False. GDPR and HIPAA auditors will test for exactly this case.</w:t>
      </w:r>
    </w:p>
    <w:p>
      <w:pPr>
        <w:pBdr>
          <w:left w:val="single" w:color="C8860A" w:sz="18" w:space="1"/>
        </w:pBdr>
        <w:shd w:fill="FEF9C3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GAP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This is the most likely compliance failure mode in production: a developer forgets to wrap a field, the raw string passes through, and the audit log contains unredacted PII.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Required Additions</w:t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GA-03-A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Pattern-based PII scanner: scan_payload()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New function in redact.py: scan_payload(payload: dict) -&gt; list[PIIScanResult]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Scans all string values in the payload (recursive, depth-limited to 10 levels).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Built-in pattern detectors (regex, stdlib only):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EMAIL       — RFC 5322 simplified pattern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PHONE       — E.164 and common local formats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SSN         — US Social Security Number (NNN-NN-NNNN)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CREDIT_CARD — Luhn-validated 13-19 digit sequences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IP_ADDRESS  — IPv4 and IPv6 literals (flag, not always PII)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UK_NI       — UK National Insurance number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Returns list of PIIScanResult(field_path, pattern_type, match_count).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match_count only — never returns the matched value (avoids logging PII in scan results).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GA-03-B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PIIScanResult dataclass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@dataclass(frozen=True)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class PIIScanResult: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field_path: str        # dotted path e.g. 'payload.response.text'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pattern_type: str      # 'EMAIL', 'SSN', 'CREDIT_CARD', etc.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match_count: int       # how many matches found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sensitivity: Sensitivity  # inferred sensitivity level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Never stores the matched value — match_count only.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GA-03-C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Integration with assert_redacted() and contains_pii()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contains_pii(event, scan_raw=False) — existing behaviour unchanged when scan_raw=False.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contains_pii(event, scan_raw=True)  — also runs scan_payload() on event.payload.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Returns True if any Redactable instances OR any pattern matches found.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assert_redacted(event, scan_raw=True) — raises PIINotRedactedError if scan finds matches.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Default for scan_raw: False (preserve existing behaviour, opt-in to pattern scanning).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ComplianceSampler always-record list should include events where scan_raw=True finds matches.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GA-03-D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CLI: spanforge scan --input audit.jsonl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Scans every event in a JSONL file for raw PII patterns.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Output: table of field_path, pattern_type, event_id, match_count.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--fail-on-match: exits 1 if any matches found (for CI use).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--types EMAIL,SSN: filter which pattern types to scan for.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Uses match_count only in output — never prints matched values.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F5F7F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Acceptance: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scan_payload() detects email/SSN/credit card in raw dict values. contains_pii(scan_raw=True) returns True for event with raw email in payload. CLI spanforge scan exits 1 with --fail-on-match on matching events.</w:t>
      </w:r>
    </w:p>
    <w:p>
      <w:r>
        <w:br w:type="page"/>
      </w:r>
    </w:p>
    <w:p>
      <w:pPr>
        <w:shd w:fill="1B2A4A" w:val="clear"/>
        <w:spacing w:after="0" w:before="240"/>
        <w:ind w:left="180" w:right="180"/>
      </w:pPr>
      <w:r>
        <w:rPr>
          <w:rFonts w:ascii="Arial" w:cs="Arial" w:eastAsia="Arial" w:hAnsi="Arial"/>
          <w:b/>
          <w:bCs/>
          <w:color w:val="C8860A"/>
          <w:sz w:val="22"/>
          <w:szCs w:val="22"/>
        </w:rPr>
        <w:t xml:space="preserve">SECTION 5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GA-04 — MULTI-TENANT KEY ISOLATION</w:t>
      </w:r>
    </w:p>
    <w:p>
      <w:pPr>
        <w:shd w:fill="2E5FA3" w:val="clear"/>
        <w:spacing w:after="200" w:before="0"/>
        <w:ind w:left="18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org_id exists on events but signing does not use it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Problem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Event.org_id is a first-class field on every event. But AuditStream takes a single org_secret and signs all events with it regardless of org_id. In a multi-tenant SaaS deployment — where one SpanForge instance serves multiple customers — a compromise of one customer's audit chain compromises all of them, and a customer could potentially verify another customer's events with their own key.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Required Additions</w:t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GA-04-A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KeyResolver protocol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New protocol in signing.py: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@runtime_checkable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class KeyResolver(Protocol):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def resolve(self, org_id: str | None) -&gt; str: ...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Used by AuditStream and sign() when key_resolver is provided.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Built-in implementations: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StaticKeyResolver(key: str)        — returns same key for all orgs (current behaviour)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EnvKeyResolver(prefix='SPANFORGE_KEY_')  — looks up SPANFORGE_KEY_{ORG_ID} env var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DictKeyResolver(mapping: dict)     — maps org_id → key (for testing and simple deploys)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GA-04-B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AuditStream per-org isolation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AuditStream gains optional key_resolver: KeyResolver parameter.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If key_resolver provided: resolve(event.org_id) called per event to get signing key.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If org_id is None and key_resolver provided: use a configurable default_key or raise SigningError.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verify_chain() gains key_resolver parameter for multi-org chain verification.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AuditStream.__repr__ must never expose resolved keys.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GA-04-C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Org isolation enforcement option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AuditStream(require_org_id=True) — raises SigningError if any event has org_id=None.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Designed for strict multi-tenant deployments where every event must be org-scoped.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configure(require_org_id=True) sets this globally.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SPANFORGE_REQUIRE_ORG_ID=true env var.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F5F7F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Acceptance: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EnvKeyResolver resolves different keys for different org_ids. AuditStream with key_resolver signs events with per-org keys. verify_chain with wrong org key returns valid=False. require_org_id=True raises on org_id=None events.</w:t>
      </w:r>
    </w:p>
    <w:p>
      <w:r>
        <w:br w:type="page"/>
      </w:r>
    </w:p>
    <w:p>
      <w:pPr>
        <w:shd w:fill="1B2A4A" w:val="clear"/>
        <w:spacing w:after="0" w:before="240"/>
        <w:ind w:left="180" w:right="180"/>
      </w:pPr>
      <w:r>
        <w:rPr>
          <w:rFonts w:ascii="Arial" w:cs="Arial" w:eastAsia="Arial" w:hAnsi="Arial"/>
          <w:b/>
          <w:bCs/>
          <w:color w:val="C8860A"/>
          <w:sz w:val="22"/>
          <w:szCs w:val="22"/>
        </w:rPr>
        <w:t xml:space="preserve">SECTION 6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GA-05 — SCHEMA MIGRATION FOR LONG-LIVED AUDIT LOGS</w:t>
      </w:r>
    </w:p>
    <w:p>
      <w:pPr>
        <w:shd w:fill="2E5FA3" w:val="clear"/>
        <w:spacing w:after="200" w:before="0"/>
        <w:ind w:left="18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Compliance requires audit logs readable for 7+ years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Problem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migrate.py has v1_to_v2() raising NotImplementedError. The migration module, SunsetPolicy, and MigrationResult dataclass are scaffolded but not implemented. For compliance, audit logs must be readable across schema versions — a GDPR audit log from 2026 must be processable by SpanForge in 2031. Without a working migration path, v1.1 cannot be sold to regulated buyers who have long retention requirements.</w:t>
      </w:r>
    </w:p>
    <w:p>
      <w:pPr>
        <w:pBdr>
          <w:left w:val="single" w:color="C8860A" w:sz="18" w:space="1"/>
        </w:pBdr>
        <w:shd w:fill="FEF9C3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GAP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This is the only item in this addendum that is not a net-new feature — it is an incomplete stub that the primary v1.1 spec did not address. It must ship in v1.1, not deferred.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Required Additions</w:t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GA-05-A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Implement v1_to_v2() migration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migrate.v1_to_v2(event: Event) -&gt; MigrationResult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Field transformations required (v1.0 → v2.0):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schema_version: '1.0' → '2.0'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source format validation: v1.0 allowed 'name@version' without strict semver; v2.0 requires strict semver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tag values: v1.0 allowed numeric tag values; v2.0 requires string only — coerce to str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checksum field: v1.0 used 'md5:' prefix; v2.0 uses 'sha256:' — if md5 checksum found, recompute as sha256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All transformations logged in MigrationResult.transformed_fields.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If event already at v2.0, return MigrationResult(success=True, transformed_fields=()).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GA-05-B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Batch migration with chain re-signing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migrate.migrate_file(input_path, output_path, target_version='2.0', org_secret=None)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Migrates all events in a JSONL file to target_version.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If org_secret provided: re-signs the entire chain after migration (required to preserve HMAC integrity).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Returns MigrationSummary: total_events, migrated_count, failed_count, warnings.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Failures are logged but do not abort — partial migration with report is better than total failure.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GA-05-C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CLI: spanforge migrate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spanforge migrate --input audit-v1.jsonl --output audit-v2.jsonl --target-version 2.0 --sign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--sign: re-signs chain using SPANFORGE_SIGNING_KEY after migration.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--dry-run: prints transformation plan without writing output.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Prints: N events migrated, N warnings, chain re-signed, output written to path.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Exits 0 on full success, 1 if any events failed migration.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GA-05-D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Forward-compatibility: unknown field tolerance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Event.from_json() must not raise on unknown fields present in a newer schema version.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Unknown fields are collected into event._unknown_fields: dict (not exported, not signed).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Allows a v1.1 reader to process v1.2 events without breaking.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This is a behaviour guarantee that must be documented in the RFC and tested.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F5F7F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Acceptance: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v1_to_v2() transforms all documented fields. migrate_file produces a valid v2.0 JSONL with intact HMAC chain. CLI exits 0 on clean migration. from_json() tolerates unknown fields without raising.</w:t>
      </w:r>
    </w:p>
    <w:p>
      <w:r>
        <w:br w:type="page"/>
      </w:r>
    </w:p>
    <w:p>
      <w:pPr>
        <w:shd w:fill="1B2A4A" w:val="clear"/>
        <w:spacing w:after="0" w:before="240"/>
        <w:ind w:left="180" w:right="180"/>
      </w:pPr>
      <w:r>
        <w:rPr>
          <w:rFonts w:ascii="Arial" w:cs="Arial" w:eastAsia="Arial" w:hAnsi="Arial"/>
          <w:b/>
          <w:bCs/>
          <w:color w:val="C8860A"/>
          <w:sz w:val="22"/>
          <w:szCs w:val="22"/>
        </w:rPr>
        <w:t xml:space="preserve">SECTION 7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GA-06 — ASYNC-SAFE SIGNING FOR HIGH-THROUGHPUT AGENTS</w:t>
      </w:r>
    </w:p>
    <w:p>
      <w:pPr>
        <w:shd w:fill="2E5FA3" w:val="clear"/>
        <w:spacing w:after="200" w:before="0"/>
        <w:ind w:left="18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AuditStream serialises through a lock — async agents will queue behind it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Problem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AuditStream.append() uses a threading.Lock to protect the chain. In high-throughput async agents making many concurrent LLM calls, all signing operations serialise through this lock. The HMAC chain requires ordering, so some serialisation is unavoidable — but the lock currently wraps the entire signing computation, not just the chain linkage step. For agents doing 100+ concurrent calls, this becomes a measurable bottleneck.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Required Additions</w:t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GA-06-A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Separate chain-linkage lock from signing computation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Current: entire sign() computation inside the lock.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Required: only the prev_id assignment and event_id record step inside the lock.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Signing computation (HMAC, checksum) happens outside the lock.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Pattern: compute signature outside lock → acquire lock → assign prev_id → release lock.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This requires a two-phase sign: sign_payload() (lockless) + attach_chain(event, prev_id) (locked).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No change to the HMAC algorithm or chain semantics — only the lock scope narrows.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GA-06-B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AsyncAuditStream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New class: AsyncAuditStream — async-native counterpart to AuditStream.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Uses asyncio.Lock instead of threading.Lock.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async def append(event) -&gt; Event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async def verify() -&gt; ChainVerificationResult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Same API surface as AuditStream otherwise.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Compatible with async context managers.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Falls back to AuditStream for sync callers (not async-native).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GA-06-C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Benchmark in CI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Add pytest-benchmark test: sign 1000 events serially and concurrently (10 workers).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Assert: concurrent throughput &gt;= 0.8x serial throughput (verify lock contention is minimal).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Marked as @pytest.mark.perf so it runs in the perf CI job, not the main test job.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F5F7F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Acceptance: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sign() lock scope reduced to prev_id assignment only. AsyncAuditStream passes concurrent append test without deadlock. Benchmark asserts concurrent throughput within 20% of serial.</w:t>
      </w:r>
    </w:p>
    <w:p>
      <w:r>
        <w:br w:type="page"/>
      </w:r>
    </w:p>
    <w:p>
      <w:pPr>
        <w:shd w:fill="1B2A4A" w:val="clear"/>
        <w:spacing w:after="0" w:before="240"/>
        <w:ind w:left="180" w:right="180"/>
      </w:pPr>
      <w:r>
        <w:rPr>
          <w:rFonts w:ascii="Arial" w:cs="Arial" w:eastAsia="Arial" w:hAnsi="Arial"/>
          <w:b/>
          <w:bCs/>
          <w:color w:val="C8860A"/>
          <w:sz w:val="22"/>
          <w:szCs w:val="22"/>
        </w:rPr>
        <w:t xml:space="preserve">SECTION 8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GA-07 — LANGUAGE-NEUTRAL CONFORMANCE TEST SUITE</w:t>
      </w:r>
    </w:p>
    <w:p>
      <w:pPr>
        <w:shd w:fill="2E5FA3" w:val="clear"/>
        <w:spacing w:after="200" w:before="0"/>
        <w:ind w:left="18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SDK-SPEC-0001.md exists but cannot be verified by non-Python SDKs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Problem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SDK-SPEC-0001.md defines what any SpanForge SDK must implement. RFC-0001 states the standard is language-agnostic. But there is no standalone conformance test suite that a TypeScript, Go, or Java SDK can run to prove compliance with the standard. Without it, every future language port will drift silently. 'Industry standard' requires that third parties can prove conformance independently.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Required Additions</w:t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GA-07-A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Conformance test fixture corpus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New directory: tests/conformance/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Contains canonical test vectors as JSON files — no Python dependency: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valid_events.json         — 20+ valid Event envelopes at schema v1.0 and v2.0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invalid_events.json       — 20+ events with specific validation errors (one per field)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signed_chain.json         — 10-event HMAC chain with known key 'test-key-conformance-001'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tampered_chain.json       — same chain with event[4] payload modified (should fail verify)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redaction_fixtures.json   — events with Redactable fields at each sensitivity level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tombstone_chain.json      — chain with one tombstone event (should verify as valid)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GA-07-B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Conformance runner (Python)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tests/conformance/run_conformance.py — standalone script, no pytest dependency.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Runs all conformance fixtures against the Python SDK.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Outputs: PASS/FAIL per test vector with reason on failure.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Exit 0 = all pass, exit 1 = any failure.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Intended to be the reference implementation for other language ports to compare against.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GA-07-C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Conformance specification document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New file: CONFORMANCE.md (alongside SDK-SPEC-0001.md).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Specifies: what a conformant SDK must accept, reject, sign, and verify.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Structured as a numbered checklist that maps to fixture files.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Example: 'C-03: A conformant SDK MUST reject events where event_id is not a valid ULID. See invalid_events.json#event_id_not_ulid.'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This document is what a TypeScript SDK author reads to know if their port is correct.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F5F7F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Acceptance: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run_conformance.py exits 0 against v1.0.x Python SDK. Test vectors cover all critical schema rules. CONFORMANCE.md is self-contained (no Python knowledge required to understand it).</w:t>
      </w:r>
    </w:p>
    <w:p>
      <w:r>
        <w:br w:type="page"/>
      </w:r>
    </w:p>
    <w:p>
      <w:pPr>
        <w:shd w:fill="1B2A4A" w:val="clear"/>
        <w:spacing w:after="0" w:before="240"/>
        <w:ind w:left="180" w:right="180"/>
      </w:pPr>
      <w:r>
        <w:rPr>
          <w:rFonts w:ascii="Arial" w:cs="Arial" w:eastAsia="Arial" w:hAnsi="Arial"/>
          <w:b/>
          <w:bCs/>
          <w:color w:val="C8860A"/>
          <w:sz w:val="22"/>
          <w:szCs w:val="22"/>
        </w:rPr>
        <w:t xml:space="preserve">SECTION 9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GA-08 — OPERATIONAL RUNBOOK FOR COMPLIANCE INCIDENTS</w:t>
      </w:r>
    </w:p>
    <w:p>
      <w:pPr>
        <w:shd w:fill="2E5FA3" w:val="clear"/>
        <w:spacing w:after="200" w:before="0"/>
        <w:ind w:left="18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A compliance sale requires documented incident response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Problem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SpanForge detects tampered chains, PII leaks, and HMAC key expiry. But there is no documented procedure for what an operator does when these are detected. Enterprise and regulated-industry buyers — especially in FinServ and healthcare — will ask for an incident response runbook as part of procurement. Without it, the compliance positioning is incomplete.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Required Additions</w:t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GA-08-A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docs/runbook.md — Incident Response Runbook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Three incident types, each with: Detection → Immediate Response → Investigation → Resolution → Post-Incident steps.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INCIDENT TYPE 1: Chain Tamper Detected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Detection: spanforge audit verify exits 1 OR GET /compliance/summary returns chain_valid=false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Immediate: stop writing new events to the affected JSONL file, preserve original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Investigation: run spanforge inspect &lt;first_tampered_id&gt; to retrieve event, compare against backup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Resolution: if backup available, restore and re-verify. If not, insert TOMBSTONE at tampered position.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Post-incident: rotate signing key, re-sign chain, document in incident log.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INCIDENT TYPE 2: PII Found in Audit Log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Detection: spanforge scan --fail-on-match exits 1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Immediate: identify affected events via spanforge scan output (field_path + event_id)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Investigation: determine if PII was ingested raw (no Redactable wrapper) or escaped redaction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Resolution: run spanforge audit erase --subject &lt;pii_value&gt; to tombstone affected events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Post-incident: add scan_raw=True check to CI pipeline, add missing Redactable wrappers.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INCIDENT TYPE 3: Signing Key Compromise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Detection: key exposed in logs, repo, or security scan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Immediate: generate new key, run spanforge audit rotate-key within 15 minutes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Investigation: determine blast radius — which chains used the compromised key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Resolution: rotate all affected chains, update SPANFORGE_SIGNING_KEY, re-verify all chains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Post-incident: enable key expiry (SPANFORGE_SIGNING_KEY_EXPIRES_AT), add key scanning to CI.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D6E4F7" w:val="clear"/>
        <w:spacing w:after="0" w:before="140"/>
        <w:ind w:left="200"/>
      </w:pPr>
      <w:r>
        <w:rPr>
          <w:rFonts w:ascii="Courier New" w:cs="Courier New" w:eastAsia="Courier New" w:hAnsi="Courier New"/>
          <w:b/>
          <w:bCs/>
          <w:color w:val="2E5FA3"/>
          <w:sz w:val="20"/>
          <w:szCs w:val="20"/>
        </w:rPr>
        <w:t xml:space="preserve">GA-08-B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spanforge audit check-health CLI command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Single command that runs all compliance health checks and reports pass/fail: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[✓/✗] Chain integrity — verify_chain() result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[✓/✗] PII scan clean — scan_payload() on recent events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[✓/✗] Signing key configured — SPANFORGE_SIGNING_KEY set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[✓/✗] Signing key strength — key meets minimum strength requirements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[✓/✗] Key expiry — not expired and not within 7-day warning window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  [✓/✗] No egress violations — if no_egress=True, verify no network exporters active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Designed to run as a scheduled job (cron / k8s CronJob) and alert on failure.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Exit 0 = all checks pass, exit 1 = any check fails.</w:t>
      </w:r>
    </w:p>
    <w:p>
      <w:pPr>
        <w:pBdr>
          <w:left w:val="single" w:color="2E5FA3" w:sz="18" w:space="1"/>
        </w:pBdr>
        <w:shd w:fill="F5F7FA" w:val="clear"/>
        <w:spacing w:after="0" w:before="4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--output json: machine-readable output for integration with monitoring systems.</w:t>
      </w:r>
    </w:p>
    <w:p>
      <w:pPr>
        <w:spacing w:after="60" w:before="0"/>
      </w:pPr>
      <w:r>
        <w:t xml:space="preserve"/>
      </w:r>
    </w:p>
    <w:p>
      <w:pPr>
        <w:pBdr>
          <w:left w:val="single" w:color="2E5FA3" w:sz="18" w:space="1"/>
        </w:pBdr>
        <w:shd w:fill="F5F7F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Acceptance: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docs/runbook.md covers all three incident types with actionable steps. spanforge audit check-health exits 0 on healthy config, exits 1 and identifies failing checks on degraded config.</w:t>
      </w:r>
    </w:p>
    <w:p>
      <w:r>
        <w:br w:type="page"/>
      </w:r>
    </w:p>
    <w:p>
      <w:pPr>
        <w:shd w:fill="1B2A4A" w:val="clear"/>
        <w:spacing w:after="0" w:before="240"/>
        <w:ind w:left="180" w:right="180"/>
      </w:pPr>
      <w:r>
        <w:rPr>
          <w:rFonts w:ascii="Arial" w:cs="Arial" w:eastAsia="Arial" w:hAnsi="Arial"/>
          <w:b/>
          <w:bCs/>
          <w:color w:val="C8860A"/>
          <w:sz w:val="22"/>
          <w:szCs w:val="22"/>
        </w:rPr>
        <w:t xml:space="preserve">SECTION 10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REVISED WORK SUMMARY</w:t>
      </w:r>
    </w:p>
    <w:p>
      <w:pPr>
        <w:shd w:fill="2E5FA3" w:val="clear"/>
        <w:spacing w:after="200" w:before="0"/>
        <w:ind w:left="18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Combined effort: original v1.1 spec + this addendum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table below shows total effort when the addendum items are added to the primary v1.1 spec. P0 items (fixes + GA-01 key security + GA-05 migration) must complete before P1 feature work begins.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660"/>
        <w:gridCol w:w="17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spec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FIX-01/02/03 — CI, coverage, critical-path tests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4–7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Addendum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GA-01 — Key security &amp; rotation lifecycle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Addendum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GA-05 — Schema migration (NotImplementedError stub)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spec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SF-11 — OTel passthrough first-class entry point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3–4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spec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SF-12 — Compliance report PDF + JSON export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5–7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spec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SF-13 — Append-only audit log + WORM backend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P1/P2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6–8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spec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SF-14 — Data residency + no-egress controls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P1/P2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3–4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spec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SF-15 — GDPR erasure + tombstoning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4–5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spec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SF-16 — Compliance-aware sampling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P1/P2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Addendum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GA-02 — Compliance view in trace viewer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3–4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Addendum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GA-03 — PII pattern scan on raw payload strings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3–5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Addendum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GA-04 — Multi-tenant key isolation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Addendum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GA-07 — Language-neutral conformance test suite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4–5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Addendum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GA-06 — Async-safe signing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Addendum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GA-08 — Operational runbook + check-health CLI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— P0 items only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8–13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— P0 + P1 items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P0+P1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42–58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— All items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46–62 days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hd w:fill="1B2A4A" w:val="clear"/>
        <w:spacing w:after="120" w:before="120"/>
        <w:jc w:val="center"/>
      </w:pPr>
      <w:r>
        <w:rPr>
          <w:rFonts w:ascii="Arial" w:cs="Arial" w:eastAsia="Arial" w:hAnsi="Arial"/>
          <w:color w:val="C8860A"/>
          <w:sz w:val="18"/>
          <w:szCs w:val="18"/>
        </w:rPr>
        <w:t xml:space="preserve">SpanForge v1.1 Addendum  |  DRAFT  | 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© 2026 SpanForge Project — Addendum to v1.1 Spec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SpanForge  </w:t>
    </w:r>
    <w:r>
      <w:rPr>
        <w:rFonts w:ascii="Arial" w:cs="Arial" w:eastAsia="Arial" w:hAnsi="Arial"/>
        <w:color w:val="6B7280"/>
        <w:sz w:val="18"/>
        <w:szCs w:val="18"/>
      </w:rPr>
      <w:t xml:space="preserve">v1.1 Addendum — Gap Analysis &amp; Additional Specifications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2026-04-13T09:17:25.067Z</dcterms:created>
  <dcterms:modified xsi:type="dcterms:W3CDTF">2026-04-13T09:17:25.068Z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