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80"/>
      </w:pPr>
      <w:r>
        <w:t xml:space="preserve"/>
      </w:r>
    </w:p>
    <w:p>
      <w:pPr>
        <w:spacing w:after="100" w:before="0"/>
        <w:jc w:val="center"/>
      </w:pPr>
      <w:r>
        <w:rPr>
          <w:rFonts w:ascii="Arial" w:cs="Arial" w:eastAsia="Arial" w:hAnsi="Arial"/>
          <w:b/>
          <w:bCs/>
          <w:color w:val="1F4E79"/>
          <w:sz w:val="80"/>
          <w:szCs w:val="80"/>
        </w:rPr>
        <w:t xml:space="preserve">T.R.U.S.T. Framework™</w:t>
      </w:r>
    </w:p>
    <w:p>
      <w:pPr>
        <w:spacing w:after="80" w:before="0"/>
        <w:jc w:val="center"/>
      </w:pPr>
      <w:r>
        <w:rPr>
          <w:rFonts w:ascii="Arial" w:cs="Arial" w:eastAsia="Arial" w:hAnsi="Arial"/>
          <w:color w:val="2E75B6"/>
          <w:sz w:val="34"/>
          <w:szCs w:val="34"/>
        </w:rPr>
        <w:t xml:space="preserve">An Open AI Governance Standard for Enterprise Systems</w:t>
      </w:r>
    </w:p>
    <w:p>
      <w:pPr>
        <w:spacing w:after="300" w:before="0"/>
        <w:jc w:val="center"/>
      </w:pPr>
      <w:r>
        <w:rPr>
          <w:rFonts w:ascii="Arial" w:cs="Arial" w:eastAsia="Arial" w:hAnsi="Arial"/>
          <w:color w:val="595959"/>
          <w:sz w:val="24"/>
          <w:szCs w:val="24"/>
        </w:rPr>
        <w:t xml:space="preserve">Transparency  ·  Responsibility  ·  User Rights  ·  Safety Guardrails  ·  Traceability</w:t>
      </w:r>
    </w:p>
    <w:p>
      <w:pPr>
        <w:spacing w:after="60" w:before="0"/>
        <w:jc w:val="center"/>
      </w:pPr>
      <w:r>
        <w:rPr>
          <w:rFonts w:ascii="Arial" w:cs="Arial" w:eastAsia="Arial" w:hAnsi="Arial"/>
          <w:color w:val="595959"/>
          <w:sz w:val="20"/>
          <w:szCs w:val="20"/>
        </w:rPr>
        <w:t xml:space="preserve">Version 2.2  |  April 2026  |  Published by SpanForge</w:t>
      </w:r>
    </w:p>
    <w:p>
      <w:pPr>
        <w:spacing w:after="400" w:before="0"/>
        <w:jc w:val="center"/>
      </w:pPr>
      <w:r>
        <w:rPr>
          <w:rFonts w:ascii="Arial" w:cs="Arial" w:eastAsia="Arial" w:hAnsi="Arial"/>
          <w:color w:val="2E75B6"/>
          <w:sz w:val="20"/>
          <w:szCs w:val="20"/>
        </w:rPr>
        <w:t xml:space="preserve">getspanforge.com  |  sriram@getspanforge.com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Scope Statement</w:t>
            </w:r>
          </w:p>
          <w:p>
            <w:pPr>
              <w:spacing w:after="40" w:before="0"/>
            </w:pPr>
            <w:r>
              <w:rPr>
                <w:rFonts w:ascii="Arial" w:cs="Arial" w:eastAsia="Arial" w:hAnsi="Arial"/>
                <w:sz w:val="20"/>
                <w:szCs w:val="20"/>
              </w:rPr>
              <w:t xml:space="preserve">The T.R.U.S.T. Framework is an open governance standard for enterprise AI systems. It defines five dimensions of AI governance and the class of technical control that satisfies each one. Any organisation can adopt T.R.U.S.T. independently of any vendor or platform. Individual T.R.U.S.T. gate checks are available as standalone open-source executables for integration into any CI/CD pipeline, independent of the SpanForge platform — making it possible to begin implementing the standard one gate at a time. T.R.U.S.T. is designed to evolve through industry feedback and adoption — shaping a shared foundation for trusted AI governance across organisations, sectors, and regulatory environments.</w:t>
            </w:r>
          </w:p>
          <w:p>
            <w:pPr>
              <w:spacing w:after="40" w:before="0"/>
            </w:pPr>
            <w:r>
              <w:rPr>
                <w:rFonts w:ascii="Arial" w:cs="Arial" w:eastAsia="Arial" w:hAnsi="Arial"/>
                <w:sz w:val="20"/>
                <w:szCs w:val="20"/>
              </w:rPr>
              <w:t xml:space="preserve">SpanForge is the reference implementation of T.R.U.S.T. — providing the platform, tooling, and certification process through which organisations can operationalise the standard in production. SpanForge products referenced in this document (the SpanForge platform, the Exit Gate System) are the SpanForge implementation mechanisms for T.R.U.S.T. dimensions; they are not the standard itself. CostGuard, SpanForge's cost intelligence product, is currently in development; the cost accountability requirement in the Responsibility dimension is satisfied in the interim through a structured manual cost brief process.</w:t>
            </w:r>
          </w:p>
          <w:p>
            <w:pPr>
              <w:spacing w:after="40" w:before="0"/>
            </w:pPr>
            <w:r>
              <w:rPr>
                <w:rFonts w:ascii="Arial" w:cs="Arial" w:eastAsia="Arial" w:hAnsi="Arial"/>
                <w:sz w:val="20"/>
                <w:szCs w:val="20"/>
              </w:rPr>
              <w:t xml:space="preserve">This document is intended for enterprise AI leads, compliance officers, risk managers, and board-level sponsors evaluating or implementing structured AI governance.</w:t>
            </w:r>
          </w:p>
          <w:p>
            <w:pPr>
              <w:spacing w:after="40" w:before="0"/>
            </w:pPr>
            <w:r>
              <w:rPr>
                <w:rFonts w:ascii="Arial" w:cs="Arial" w:eastAsia="Arial" w:hAnsi="Arial"/>
                <w:sz w:val="20"/>
                <w:szCs w:val="20"/>
              </w:rPr>
              <w:t xml:space="preserve">All statistical claims are sourced. Framework outcomes reflect design intent; results depend on implementation integrity and organisational conditions.</w:t>
            </w:r>
          </w:p>
        </w:tc>
      </w:tr>
    </w:tbl>
    <w:p>
      <w:pPr>
        <w:spacing w:after="0" w:before="200"/>
      </w:pPr>
      <w:r>
        <w:t xml:space="preserve"/>
      </w:r>
    </w:p>
    <w:p>
      <w:pPr>
        <w:pStyle w:val="Heading1"/>
        <w:pBdr>
          <w:bottom w:val="single" w:color="2E75B6" w:sz="8" w:space="4"/>
        </w:pBdr>
        <w:spacing w:after="120" w:before="400"/>
      </w:pPr>
      <w:r>
        <w:rPr>
          <w:rFonts w:ascii="Arial" w:cs="Arial" w:eastAsia="Arial" w:hAnsi="Arial"/>
          <w:b/>
          <w:bCs/>
          <w:color w:val="1F4E79"/>
          <w:sz w:val="34"/>
          <w:szCs w:val="34"/>
        </w:rPr>
        <w:t xml:space="preserve">Executive Summary</w:t>
      </w:r>
    </w:p>
    <w:p>
      <w:pPr>
        <w:spacing w:after="100" w:before="80"/>
        <w:jc w:val="both"/>
      </w:pPr>
      <w:r>
        <w:rPr>
          <w:rFonts w:ascii="Arial" w:cs="Arial" w:eastAsia="Arial" w:hAnsi="Arial"/>
          <w:sz w:val="22"/>
          <w:szCs w:val="22"/>
        </w:rPr>
        <w:t xml:space="preserve">Enterprise AI has a governance problem. Organisations invest in models, compute, and talent — but consistently fail to produce governed, auditable, production-ready AI systems. Industry research suggests approximately 40% of companies abandoned the majority of their AI initiatives in 2025 — more than double the rate recorded the year prior (S&amp;P Global Market Intelligence, 2025). The cause is not AI technology. It is a delivery discipline problem.</w:t>
      </w:r>
    </w:p>
    <w:p>
      <w:pPr>
        <w:spacing w:after="100" w:before="80"/>
        <w:jc w:val="both"/>
      </w:pPr>
      <w:r>
        <w:rPr>
          <w:rFonts w:ascii="Arial" w:cs="Arial" w:eastAsia="Arial" w:hAnsi="Arial"/>
          <w:sz w:val="22"/>
          <w:szCs w:val="22"/>
        </w:rPr>
        <w:t xml:space="preserve">T.R.U.S.T. is an open governance standard — the missing execution layer between regulation and real systems. It defines five governance dimensions and the technical controls that satisfy them. SpanForge is the platform implementation of this standard: the operational layer through which T.R.U.S.T. is certified and enforced in production. Any organisation can adopt the standard; SpanForge provides an accelerated path to full implementation.</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Dimension</w:t>
            </w:r>
          </w:p>
        </w:tc>
        <w:tc>
          <w:tcPr>
            <w:tcW w:type="dxa" w:w="32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Governance Scope</w:t>
            </w:r>
          </w:p>
        </w:tc>
        <w:tc>
          <w:tcPr>
            <w:tcW w:type="dxa" w:w="40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Technical Enforcement</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Transparency</w:t>
            </w:r>
          </w:p>
        </w:tc>
        <w:tc>
          <w:tcPr>
            <w:tcW w:type="dxa" w:w="32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Intelligibility of AI decisions to affected parties</w:t>
            </w:r>
          </w:p>
        </w:tc>
        <w:tc>
          <w:tcPr>
            <w:tcW w:type="dxa" w:w="40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Decision driver visualisation; model documentation standards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Responsibility</w:t>
            </w:r>
          </w:p>
        </w:tc>
        <w:tc>
          <w:tcPr>
            <w:tcW w:type="dxa" w:w="32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Named human accountability for every AI system</w:t>
            </w:r>
          </w:p>
        </w:tc>
        <w:tc>
          <w:tcPr>
            <w:tcW w:type="dxa" w:w="40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Model registry; gate authority; lifecycle ownership; cost accountability at Design phase</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User Rights</w:t>
            </w:r>
          </w:p>
        </w:tc>
        <w:tc>
          <w:tcPr>
            <w:tcW w:type="dxa" w:w="32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Consent, transparency, and recourse for individuals</w:t>
            </w:r>
          </w:p>
        </w:tc>
        <w:tc>
          <w:tcPr>
            <w:tcW w:type="dxa" w:w="40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Consent boundary monitoring; GDPR/EU AI Act mapping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Safety Guardrails</w:t>
            </w:r>
          </w:p>
        </w:tc>
        <w:tc>
          <w:tcPr>
            <w:tcW w:type="dxa" w:w="32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Technical constraints embedded in architecture</w:t>
            </w:r>
          </w:p>
        </w:tc>
        <w:tc>
          <w:tcPr>
            <w:tcW w:type="dxa" w:w="40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Six-gate CI/CD pipeline; adversarial testing; runtime monitoring</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Traceability</w:t>
            </w:r>
          </w:p>
        </w:tc>
        <w:tc>
          <w:tcPr>
            <w:tcW w:type="dxa" w:w="32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End-to-end audit trail for every AI decision</w:t>
            </w:r>
          </w:p>
        </w:tc>
        <w:tc>
          <w:tcPr>
            <w:tcW w:type="dxa" w:w="40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HMAC-signed immutable logs; data lineage; production audit export</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What Makes T.R.U.S.T. Different from Existing Frameworks</w:t>
            </w:r>
          </w:p>
          <w:p>
            <w:pPr>
              <w:spacing w:after="40" w:before="0"/>
            </w:pPr>
            <w:r>
              <w:rPr>
                <w:rFonts w:ascii="Arial" w:cs="Arial" w:eastAsia="Arial" w:hAnsi="Arial"/>
                <w:sz w:val="20"/>
                <w:szCs w:val="20"/>
              </w:rPr>
              <w:t xml:space="preserve">Existing frameworks (NIST AI RMF, ISO/IEC 42001, EU AI Act) define what governance should achieve. T.R.U.S.T. defines how it is technically enforced and what evidence satisfies each requirement. The gap between policy intent and technical reality is where most enterprise AI governance fails.</w:t>
            </w:r>
          </w:p>
          <w:p>
            <w:pPr>
              <w:spacing w:after="40" w:before="0"/>
            </w:pPr>
            <w:r>
              <w:rPr>
                <w:rFonts w:ascii="Arial" w:cs="Arial" w:eastAsia="Arial" w:hAnsi="Arial"/>
                <w:sz w:val="20"/>
                <w:szCs w:val="20"/>
              </w:rPr>
              <w:t xml:space="preserve">T.R.U.S.T. closes that gap by specifying a technical control for each dimension — not a policy document. SpanForge is the reference implementation of this standard, not the standard itself. Organisations that implement T.R.U.S.T. through SpanForge, or through their own tooling aligned to T.R.U.S.T. requirements, satisfy the same governance standard.</w:t>
            </w:r>
          </w:p>
        </w:tc>
      </w:tr>
    </w:tbl>
    <w:p>
      <w:pPr>
        <w:spacing w:after="0" w:before="200"/>
      </w:pPr>
      <w:r>
        <w:t xml:space="preserve"/>
      </w:r>
    </w:p>
    <w:p>
      <w:pPr>
        <w:pStyle w:val="Heading1"/>
        <w:pBdr>
          <w:bottom w:val="single" w:color="2E75B6" w:sz="8" w:space="4"/>
        </w:pBdr>
        <w:spacing w:after="120" w:before="400"/>
      </w:pPr>
      <w:r>
        <w:rPr>
          <w:rFonts w:ascii="Arial" w:cs="Arial" w:eastAsia="Arial" w:hAnsi="Arial"/>
          <w:b/>
          <w:bCs/>
          <w:color w:val="1F4E79"/>
          <w:sz w:val="34"/>
          <w:szCs w:val="34"/>
        </w:rPr>
        <w:t xml:space="preserve">1.  Why AI Governance Fails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60"/>
              <w:left w:type="dxa" w:w="240"/>
              <w:bottom w:type="dxa" w:w="160"/>
              <w:right w:type="dxa" w:w="240"/>
            </w:tcMar>
          </w:tcPr>
          <w:p>
            <w:pPr>
              <w:spacing w:after="50" w:before="0"/>
            </w:pPr>
            <w:r>
              <w:rPr>
                <w:rFonts w:ascii="Arial" w:cs="Arial" w:eastAsia="Arial" w:hAnsi="Arial"/>
                <w:b/>
                <w:bCs/>
                <w:color w:val="1F4E79"/>
                <w:sz w:val="20"/>
                <w:szCs w:val="20"/>
              </w:rPr>
              <w:t xml:space="preserve">What it means: </w:t>
            </w:r>
            <w:r>
              <w:rPr>
                <w:rFonts w:ascii="Arial" w:cs="Arial" w:eastAsia="Arial" w:hAnsi="Arial"/>
                <w:sz w:val="20"/>
                <w:szCs w:val="20"/>
              </w:rPr>
              <w:t xml:space="preserve">Most enterprise AI governance fails because it is added after delivery, not built into it.</w:t>
            </w:r>
          </w:p>
          <w:p>
            <w:pPr>
              <w:spacing w:after="50" w:before="0"/>
            </w:pPr>
            <w:r>
              <w:rPr>
                <w:rFonts w:ascii="Arial" w:cs="Arial" w:eastAsia="Arial" w:hAnsi="Arial"/>
                <w:b/>
                <w:bCs/>
                <w:color w:val="1F4E79"/>
                <w:sz w:val="20"/>
                <w:szCs w:val="20"/>
              </w:rPr>
              <w:t xml:space="preserve">Why it matters: </w:t>
            </w:r>
            <w:r>
              <w:rPr>
                <w:rFonts w:ascii="Arial" w:cs="Arial" w:eastAsia="Arial" w:hAnsi="Arial"/>
                <w:sz w:val="20"/>
                <w:szCs w:val="20"/>
              </w:rPr>
              <w:t xml:space="preserve">Systems that pass technical benchmarks can still fail regulatory scrutiny, leak data, and produce unauditable decisions.</w:t>
            </w:r>
          </w:p>
          <w:p>
            <w:pPr>
              <w:spacing w:after="0" w:before="0"/>
            </w:pPr>
            <w:r>
              <w:rPr>
                <w:rFonts w:ascii="Arial" w:cs="Arial" w:eastAsia="Arial" w:hAnsi="Arial"/>
                <w:b/>
                <w:bCs/>
                <w:color w:val="C00000"/>
                <w:sz w:val="20"/>
                <w:szCs w:val="20"/>
              </w:rPr>
              <w:t xml:space="preserve">Risk if ignored: </w:t>
            </w:r>
            <w:r>
              <w:rPr>
                <w:rFonts w:ascii="Arial" w:cs="Arial" w:eastAsia="Arial" w:hAnsi="Arial"/>
                <w:sz w:val="20"/>
                <w:szCs w:val="20"/>
              </w:rPr>
              <w:t xml:space="preserve">Regulatory fines, data breach liability, and the complete loss of audit trail when incidents occur.</w:t>
            </w:r>
          </w:p>
        </w:tc>
      </w:tr>
    </w:tbl>
    <w:p>
      <w:pPr>
        <w:spacing w:after="80" w:before="160"/>
      </w:pPr>
      <w:r>
        <w:t xml:space="preserve"/>
      </w:r>
    </w:p>
    <w:p>
      <w:pPr>
        <w:spacing w:after="100" w:before="80"/>
        <w:jc w:val="both"/>
      </w:pPr>
      <w:r>
        <w:rPr>
          <w:rFonts w:ascii="Arial" w:cs="Arial" w:eastAsia="Arial" w:hAnsi="Arial"/>
          <w:sz w:val="22"/>
          <w:szCs w:val="22"/>
        </w:rPr>
        <w:t xml:space="preserve">Most enterprise AI governance programmes fail for a predictable reason. They treat governance as a compliance exercise added at the end of delivery, rather than as an architectural discipline enforced throughout it. The result is a pattern of fragmented controls, policy documents that diverge from technical reality, and audit trails that exist only on paper.</w:t>
      </w:r>
    </w:p>
    <w:p>
      <w:pPr>
        <w:spacing w:after="100" w:before="80"/>
        <w:jc w:val="both"/>
      </w:pPr>
      <w:r>
        <w:rPr>
          <w:rFonts w:ascii="Arial" w:cs="Arial" w:eastAsia="Arial" w:hAnsi="Arial"/>
          <w:sz w:val="22"/>
          <w:szCs w:val="22"/>
        </w:rPr>
        <w:t xml:space="preserve">Three structural failure modes account for the majority of governance breakdowns in enterprise AI deployments:</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Performance-first adoption — accuracy, speed, and recall are prioritised over systemic robustness and ethical alignment, creating systems that pass technical benchmarks but fail governance scrutiny.</w:t>
      </w:r>
    </w:p>
    <w:p>
      <w:pPr>
        <w:pStyle w:val="ListParagraph"/>
        <w:numPr>
          <w:ilvl w:val="0"/>
          <w:numId w:val="2"/>
        </w:numPr>
        <w:spacing w:after="60" w:before="60"/>
      </w:pPr>
      <w:r>
        <w:rPr>
          <w:rFonts w:ascii="Arial" w:cs="Arial" w:eastAsia="Arial" w:hAnsi="Arial"/>
          <w:sz w:val="22"/>
          <w:szCs w:val="22"/>
        </w:rPr>
        <w:t xml:space="preserve">Unmanaged usage — employees use public AI tools for sensitive tasks without understanding data handling. This leads to confidential data exposure and loss of IP control. It is not malicious intent; it is the absence of governed tooling.</w:t>
      </w:r>
    </w:p>
    <w:p>
      <w:pPr>
        <w:pStyle w:val="ListParagraph"/>
        <w:numPr>
          <w:ilvl w:val="0"/>
          <w:numId w:val="2"/>
        </w:numPr>
        <w:spacing w:after="60" w:before="60"/>
      </w:pPr>
      <w:r>
        <w:rPr>
          <w:rFonts w:ascii="Arial" w:cs="Arial" w:eastAsia="Arial" w:hAnsi="Arial"/>
          <w:sz w:val="22"/>
          <w:szCs w:val="22"/>
        </w:rPr>
        <w:t xml:space="preserve">Black-box accountability — when an AI system produces a harmful output, it is frequently impossible to identify which decision, data source, or design choice caused it. No audit trail means no remediation path.</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The Stakes</w:t>
            </w:r>
          </w:p>
          <w:p>
            <w:pPr>
              <w:spacing w:after="40" w:before="0"/>
            </w:pPr>
            <w:r>
              <w:rPr>
                <w:rFonts w:ascii="Arial" w:cs="Arial" w:eastAsia="Arial" w:hAnsi="Arial"/>
                <w:sz w:val="20"/>
                <w:szCs w:val="20"/>
              </w:rPr>
              <w:t xml:space="preserve">In 2024, Air Canada's chatbot hallucinated a nonexistent bereavement discount policy. The airline was held legally liable for the output of its own system — a governance failure, not a technical one. The system worked. The governance did not.</w:t>
            </w:r>
          </w:p>
          <w:p>
            <w:pPr>
              <w:spacing w:after="40" w:before="0"/>
            </w:pPr>
            <w:r>
              <w:rPr>
                <w:rFonts w:ascii="Arial" w:cs="Arial" w:eastAsia="Arial" w:hAnsi="Arial"/>
                <w:sz w:val="20"/>
                <w:szCs w:val="20"/>
              </w:rPr>
              <w:t xml:space="preserve">A European financial institution deployed a credit-scoring agent without drift monitoring. Over four months, the model's training data became stale as macroeconomic conditions shifted. By the time the degradation was detected, the bank had issued materially mispriced credit decisions across thousands of accounts — with no audit trail to reconstruct the basis for individual decisions.</w:t>
            </w:r>
          </w:p>
          <w:p>
            <w:pPr>
              <w:spacing w:after="40" w:before="0"/>
            </w:pPr>
            <w:r>
              <w:rPr>
                <w:rFonts w:ascii="Arial" w:cs="Arial" w:eastAsia="Arial" w:hAnsi="Arial"/>
                <w:sz w:val="20"/>
                <w:szCs w:val="20"/>
              </w:rPr>
              <w:t xml:space="preserve">The EU AI Act can impose fines of up to €30 million or 6% of global turnover for high-risk AI violations. Governance is no longer a reputational matter. It is a financial one.</w:t>
            </w:r>
          </w:p>
        </w:tc>
      </w:tr>
    </w:tbl>
    <w:p>
      <w:pPr>
        <w:spacing w:after="80" w:before="160"/>
      </w:pPr>
      <w:r>
        <w:t xml:space="preserve"/>
      </w:r>
    </w:p>
    <w:p>
      <w:pPr>
        <w:spacing w:after="100" w:before="80"/>
        <w:jc w:val="both"/>
      </w:pPr>
      <w:r>
        <w:rPr>
          <w:rFonts w:ascii="Arial" w:cs="Arial" w:eastAsia="Arial" w:hAnsi="Arial"/>
          <w:sz w:val="22"/>
          <w:szCs w:val="22"/>
        </w:rPr>
        <w:t xml:space="preserve">Reported increases indicate AI-related incidents rose approximately 50% year-over-year between 2022 and 2024, with deepfake generation and hallucinating systems dominating the risk landscape by 2025 (OECD AI Incidents Monitor, 2024). Without a structured governance framework, organisations face both regulatory exposure and operational liability.</w:t>
      </w:r>
    </w:p>
    <w:p>
      <w:pPr>
        <w:spacing w:after="100" w:before="80"/>
        <w:jc w:val="both"/>
      </w:pPr>
      <w:r>
        <w:rPr>
          <w:rFonts w:ascii="Arial" w:cs="Arial" w:eastAsia="Arial" w:hAnsi="Arial"/>
          <w:sz w:val="22"/>
          <w:szCs w:val="22"/>
        </w:rPr>
        <w:t xml:space="preserve">The T.R.U.S.T. Framework addresses these failure modes through technical controls that make governance the default state of every AI system — not an optional layer applied at the end.</w:t>
      </w:r>
    </w:p>
    <w:p>
      <w:pPr>
        <w:spacing w:after="0" w:before="160"/>
      </w:pPr>
      <w:r>
        <w:t xml:space="preserve"/>
      </w:r>
    </w:p>
    <w:p>
      <w:pPr>
        <w:pStyle w:val="Heading1"/>
        <w:pBdr>
          <w:bottom w:val="single" w:color="2E75B6" w:sz="8" w:space="4"/>
        </w:pBdr>
        <w:spacing w:after="120" w:before="400"/>
      </w:pPr>
      <w:r>
        <w:rPr>
          <w:rFonts w:ascii="Arial" w:cs="Arial" w:eastAsia="Arial" w:hAnsi="Arial"/>
          <w:b/>
          <w:bCs/>
          <w:color w:val="1F4E79"/>
          <w:sz w:val="34"/>
          <w:szCs w:val="34"/>
        </w:rPr>
        <w:t xml:space="preserve">2.  Framework Context: What T.R.U.S.T. Adds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60"/>
              <w:left w:type="dxa" w:w="240"/>
              <w:bottom w:type="dxa" w:w="160"/>
              <w:right w:type="dxa" w:w="240"/>
            </w:tcMar>
          </w:tcPr>
          <w:p>
            <w:pPr>
              <w:spacing w:after="50" w:before="0"/>
            </w:pPr>
            <w:r>
              <w:rPr>
                <w:rFonts w:ascii="Arial" w:cs="Arial" w:eastAsia="Arial" w:hAnsi="Arial"/>
                <w:b/>
                <w:bCs/>
                <w:color w:val="1F4E79"/>
                <w:sz w:val="20"/>
                <w:szCs w:val="20"/>
              </w:rPr>
              <w:t xml:space="preserve">What it means: </w:t>
            </w:r>
            <w:r>
              <w:rPr>
                <w:rFonts w:ascii="Arial" w:cs="Arial" w:eastAsia="Arial" w:hAnsi="Arial"/>
                <w:sz w:val="20"/>
                <w:szCs w:val="20"/>
              </w:rPr>
              <w:t xml:space="preserve">T.R.U.S.T. sits at the technical implementation layer — below regulatory frameworks, above individual AI systems.</w:t>
            </w:r>
          </w:p>
          <w:p>
            <w:pPr>
              <w:spacing w:after="50" w:before="0"/>
            </w:pPr>
            <w:r>
              <w:rPr>
                <w:rFonts w:ascii="Arial" w:cs="Arial" w:eastAsia="Arial" w:hAnsi="Arial"/>
                <w:b/>
                <w:bCs/>
                <w:color w:val="1F4E79"/>
                <w:sz w:val="20"/>
                <w:szCs w:val="20"/>
              </w:rPr>
              <w:t xml:space="preserve">Why it matters: </w:t>
            </w:r>
            <w:r>
              <w:rPr>
                <w:rFonts w:ascii="Arial" w:cs="Arial" w:eastAsia="Arial" w:hAnsi="Arial"/>
                <w:sz w:val="20"/>
                <w:szCs w:val="20"/>
              </w:rPr>
              <w:t xml:space="preserve">Existing standards define what compliance requires. T.R.U.S.T. provides the mechanism that makes compliance provable.</w:t>
            </w:r>
          </w:p>
          <w:p>
            <w:pPr>
              <w:spacing w:after="0" w:before="0"/>
            </w:pPr>
            <w:r>
              <w:rPr>
                <w:rFonts w:ascii="Arial" w:cs="Arial" w:eastAsia="Arial" w:hAnsi="Arial"/>
                <w:b/>
                <w:bCs/>
                <w:color w:val="C00000"/>
                <w:sz w:val="20"/>
                <w:szCs w:val="20"/>
              </w:rPr>
              <w:t xml:space="preserve">Risk if ignored: </w:t>
            </w:r>
            <w:r>
              <w:rPr>
                <w:rFonts w:ascii="Arial" w:cs="Arial" w:eastAsia="Arial" w:hAnsi="Arial"/>
                <w:sz w:val="20"/>
                <w:szCs w:val="20"/>
              </w:rPr>
              <w:t xml:space="preserve">Adopting compliance frameworks without technical enforcement produces documentation, not governance.</w:t>
            </w:r>
          </w:p>
        </w:tc>
      </w:tr>
    </w:tbl>
    <w:p>
      <w:pPr>
        <w:spacing w:after="80" w:before="160"/>
      </w:pPr>
      <w:r>
        <w:t xml:space="preserve"/>
      </w:r>
    </w:p>
    <w:p>
      <w:pPr>
        <w:spacing w:after="100" w:before="80"/>
        <w:jc w:val="both"/>
      </w:pPr>
      <w:r>
        <w:rPr>
          <w:rFonts w:ascii="Arial" w:cs="Arial" w:eastAsia="Arial" w:hAnsi="Arial"/>
          <w:sz w:val="22"/>
          <w:szCs w:val="22"/>
        </w:rPr>
        <w:t xml:space="preserve">Organisations navigating enterprise AI governance already operate within a landscape of existing standards. T.R.U.S.T. is designed to complement, not replace, these frameworks — while closing the gap between policy intent and technical enforcement that each leaves open.</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Framework</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Nature</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It Covers</w:t>
            </w:r>
          </w:p>
        </w:tc>
        <w:tc>
          <w:tcPr>
            <w:tcW w:type="dxa" w:w="2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Gap T.R.U.S.T. Closes</w:t>
            </w:r>
          </w:p>
        </w:tc>
      </w:tr>
      <w:tr>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NIST AI RMF</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Voluntary U.S. guideline</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Risk identification across Govern, Map, Measure, Manage functions</w:t>
            </w:r>
          </w:p>
        </w:tc>
        <w:tc>
          <w:tcPr>
            <w:tcW w:type="dxa" w:w="2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technical enforcement mechanism; remains at policy level</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ISO/IEC 42001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Certifiable management system (AIMS)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Organisational accountability via Plan-Do-Check-Act model</w:t>
            </w:r>
          </w:p>
        </w:tc>
        <w:tc>
          <w:tcPr>
            <w:tcW w:type="dxa" w:w="2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Certifies processes, not outcomes; does not specify technical controls</w:t>
            </w:r>
          </w:p>
        </w:tc>
      </w:tr>
      <w:tr>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EU AI Act</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Mandatory regulatory framework</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High-risk documentation, testing, transparency obligations</w:t>
            </w:r>
          </w:p>
        </w:tc>
        <w:tc>
          <w:tcPr>
            <w:tcW w:type="dxa" w:w="2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Defines compliance requirements; does not provide tools to meet them</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OECD AI Principles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Global policy guidance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Fairness, ethics, human-centred AI</w:t>
            </w:r>
          </w:p>
        </w:tc>
        <w:tc>
          <w:tcPr>
            <w:tcW w:type="dxa" w:w="2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Aspirational; no implementation specification or enforcement pathway</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T.R.U.S.T. Positioning</w:t>
            </w:r>
          </w:p>
          <w:p>
            <w:pPr>
              <w:spacing w:after="40" w:before="0"/>
            </w:pPr>
            <w:r>
              <w:rPr>
                <w:rFonts w:ascii="Arial" w:cs="Arial" w:eastAsia="Arial" w:hAnsi="Arial"/>
                <w:sz w:val="20"/>
                <w:szCs w:val="20"/>
              </w:rPr>
              <w:t xml:space="preserve">T.R.U.S.T. operates one layer below these frameworks — at the technical implementation level. Where NIST RMF says 'measure risk,' T.R.U.S.T. specifies what is measured and how it is logged. Where the EU AI Act requires audit documentation, T.R.U.S.T. specifies the mechanism that produces it: an immutable, timestamped, cryptographically verifiable audit trail.</w:t>
            </w:r>
          </w:p>
          <w:p>
            <w:pPr>
              <w:spacing w:after="40" w:before="0"/>
            </w:pPr>
            <w:r>
              <w:rPr>
                <w:rFonts w:ascii="Arial" w:cs="Arial" w:eastAsia="Arial" w:hAnsi="Arial"/>
                <w:sz w:val="20"/>
                <w:szCs w:val="20"/>
              </w:rPr>
              <w:t xml:space="preserve">Organisations adopting T.R.U.S.T. should continue compliance mapping against the EU AI Act and NIST RMF. T.R.U.S.T. is the technical layer that makes that compliance provable — not a replacement for regulatory engagement.</w:t>
            </w:r>
          </w:p>
        </w:tc>
      </w:tr>
    </w:tbl>
    <w:p>
      <w:pPr>
        <w:spacing w:after="0" w:before="160"/>
      </w:pPr>
      <w:r>
        <w:t xml:space="preserve"/>
      </w:r>
    </w:p>
    <w:p>
      <w:pPr>
        <w:spacing w:after="80" w:before="40"/>
        <w:ind w:left="360"/>
      </w:pPr>
      <w:r>
        <w:rPr>
          <w:rFonts w:ascii="Arial" w:cs="Arial" w:eastAsia="Arial" w:hAnsi="Arial"/>
          <w:color w:val="2E75B6"/>
          <w:sz w:val="19"/>
          <w:szCs w:val="19"/>
        </w:rPr>
        <w:t xml:space="preserve">→ SpanForge Way v4.9: System 02 — T.R.U.S.T. Framework™; System 07 — Competitive Positioning</w:t>
      </w:r>
    </w:p>
    <w:p>
      <w:pPr>
        <w:pStyle w:val="Heading1"/>
        <w:pBdr>
          <w:bottom w:val="single" w:color="2E75B6" w:sz="8" w:space="4"/>
        </w:pBdr>
        <w:spacing w:after="120" w:before="400"/>
      </w:pPr>
      <w:r>
        <w:rPr>
          <w:rFonts w:ascii="Arial" w:cs="Arial" w:eastAsia="Arial" w:hAnsi="Arial"/>
          <w:b/>
          <w:bCs/>
          <w:color w:val="1F4E79"/>
          <w:sz w:val="34"/>
          <w:szCs w:val="34"/>
        </w:rPr>
        <w:t xml:space="preserve">3.  T.R.U.S.T. Architecture</w:t>
      </w:r>
    </w:p>
    <w:p>
      <w:pPr>
        <w:spacing w:after="100" w:before="80"/>
        <w:jc w:val="both"/>
      </w:pPr>
      <w:r>
        <w:rPr>
          <w:rFonts w:ascii="Arial" w:cs="Arial" w:eastAsia="Arial" w:hAnsi="Arial"/>
          <w:sz w:val="22"/>
          <w:szCs w:val="22"/>
        </w:rPr>
        <w:t xml:space="preserve">The diagram below shows how T.R.U.S.T. sits between regulatory frameworks and the enterprise AI systems they are intended to govern. Layers ②–⑤ define the T.R.U.S.T. standard. SpanForge is the reference implementation of those layers — providing the platform, tools, and certification process through which organisations can satisfy each one.</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2"/>
              <w:left w:val="single" w:color="D6E4F0" w:sz="6"/>
              <w:bottom w:val="single" w:color="D6E4F0" w:sz="2"/>
              <w:right w:val="single" w:color="D6E4F0" w:sz="2"/>
            </w:tcBorders>
            <w:shd w:fill="D6E4F0" w:val="clear"/>
            <w:tcMar>
              <w:top w:type="dxa" w:w="140"/>
              <w:left w:type="dxa" w:w="300"/>
              <w:bottom w:type="dxa" w:w="140"/>
              <w:right w:type="dxa" w:w="300"/>
            </w:tcMar>
          </w:tcPr>
          <w:p>
            <w:pPr>
              <w:spacing w:after="30" w:before="0"/>
              <w:jc w:val="center"/>
            </w:pPr>
            <w:r>
              <w:rPr>
                <w:rFonts w:ascii="Arial" w:cs="Arial" w:eastAsia="Arial" w:hAnsi="Arial"/>
                <w:b/>
                <w:bCs/>
                <w:color w:val="1F4E79"/>
                <w:sz w:val="23"/>
                <w:szCs w:val="23"/>
              </w:rPr>
              <w:t xml:space="preserve">① Regulatory Frameworks</w:t>
            </w:r>
          </w:p>
          <w:p>
            <w:pPr>
              <w:spacing w:after="30" w:before="0"/>
              <w:jc w:val="center"/>
            </w:pPr>
            <w:r>
              <w:rPr>
                <w:rFonts w:ascii="Arial" w:cs="Arial" w:eastAsia="Arial" w:hAnsi="Arial"/>
                <w:color w:val="1F4E79"/>
                <w:sz w:val="18"/>
                <w:szCs w:val="18"/>
              </w:rPr>
              <w:t xml:space="preserve">EU AI Act  ·  NIST AI RMF  ·  ISO/IEC 42001  ·  OECD Principles</w:t>
            </w:r>
          </w:p>
          <w:p>
            <w:pPr>
              <w:spacing w:after="0" w:before="0"/>
              <w:jc w:val="center"/>
            </w:pPr>
            <w:r>
              <w:rPr>
                <w:rFonts w:ascii="Arial" w:cs="Arial" w:eastAsia="Arial" w:hAnsi="Arial"/>
                <w:color w:val="888888"/>
                <w:sz w:val="17"/>
                <w:szCs w:val="17"/>
              </w:rPr>
              <w:t xml:space="preserve">External — defines requirements</w:t>
            </w:r>
          </w:p>
        </w:tc>
      </w:tr>
      <w:tr>
        <w:tc>
          <w:tcPr>
            <w:tcW w:type="dxa" w:w="9360"/>
            <w:tcBorders>
              <w:top w:val="none" w:color="FFFFFF" w:sz="0"/>
              <w:left w:val="none" w:color="FFFFFF" w:sz="0"/>
              <w:bottom w:val="none" w:color="FFFFFF" w:sz="0"/>
              <w:right w:val="none" w:color="FFFFFF" w:sz="0"/>
            </w:tcBorders>
            <w:shd w:fill="FFFFFF" w:val="clear"/>
            <w:tcMar>
              <w:top w:type="dxa" w:w="0"/>
              <w:left w:type="dxa" w:w="300"/>
              <w:bottom w:type="dxa" w:w="0"/>
              <w:right w:type="dxa" w:w="300"/>
            </w:tcMar>
          </w:tcPr>
          <w:p>
            <w:pPr>
              <w:spacing w:after="0" w:before="0"/>
              <w:jc w:val="center"/>
            </w:pPr>
            <w:r>
              <w:rPr>
                <w:rFonts w:ascii="Arial" w:cs="Arial" w:eastAsia="Arial" w:hAnsi="Arial"/>
                <w:color w:val="BFBFBF"/>
                <w:sz w:val="20"/>
                <w:szCs w:val="20"/>
              </w:rPr>
              <w:t xml:space="preserve">▼</w:t>
            </w:r>
          </w:p>
        </w:tc>
      </w:tr>
      <w:tr>
        <w:tc>
          <w:tcPr>
            <w:tcW w:type="dxa" w:w="9360"/>
            <w:tcBorders>
              <w:top w:val="single" w:color="1F4E79" w:sz="2"/>
              <w:left w:val="single" w:color="1F4E79" w:sz="6"/>
              <w:bottom w:val="single" w:color="1F4E79" w:sz="2"/>
              <w:right w:val="single" w:color="1F4E79" w:sz="2"/>
            </w:tcBorders>
            <w:shd w:fill="1F4E79" w:val="clear"/>
            <w:tcMar>
              <w:top w:type="dxa" w:w="140"/>
              <w:left w:type="dxa" w:w="300"/>
              <w:bottom w:type="dxa" w:w="140"/>
              <w:right w:type="dxa" w:w="300"/>
            </w:tcMar>
          </w:tcPr>
          <w:p>
            <w:pPr>
              <w:spacing w:after="30" w:before="0"/>
              <w:jc w:val="center"/>
            </w:pPr>
            <w:r>
              <w:rPr>
                <w:rFonts w:ascii="Arial" w:cs="Arial" w:eastAsia="Arial" w:hAnsi="Arial"/>
                <w:b/>
                <w:bCs/>
                <w:color w:val="FFFFFF"/>
                <w:sz w:val="23"/>
                <w:szCs w:val="23"/>
              </w:rPr>
              <w:t xml:space="preserve">② T.R.U.S.T. Dimensions</w:t>
            </w:r>
          </w:p>
          <w:p>
            <w:pPr>
              <w:spacing w:after="30" w:before="0"/>
              <w:jc w:val="center"/>
            </w:pPr>
            <w:r>
              <w:rPr>
                <w:rFonts w:ascii="Arial" w:cs="Arial" w:eastAsia="Arial" w:hAnsi="Arial"/>
                <w:color w:val="FFFFFF"/>
                <w:sz w:val="18"/>
                <w:szCs w:val="18"/>
              </w:rPr>
              <w:t xml:space="preserve">Transparency  ·  Responsibility  ·  User Rights  ·  Safety Guardrails  ·  Traceability</w:t>
            </w:r>
          </w:p>
          <w:p>
            <w:pPr>
              <w:spacing w:after="0" w:before="0"/>
              <w:jc w:val="center"/>
            </w:pPr>
            <w:r>
              <w:rPr>
                <w:rFonts w:ascii="Arial" w:cs="Arial" w:eastAsia="Arial" w:hAnsi="Arial"/>
                <w:color w:val="C8DFF5"/>
                <w:sz w:val="17"/>
                <w:szCs w:val="17"/>
              </w:rPr>
              <w:t xml:space="preserve">Open standard — platform-agnostic governance requirements</w:t>
            </w:r>
          </w:p>
        </w:tc>
      </w:tr>
      <w:tr>
        <w:tc>
          <w:tcPr>
            <w:tcW w:type="dxa" w:w="9360"/>
            <w:tcBorders>
              <w:top w:val="none" w:color="FFFFFF" w:sz="0"/>
              <w:left w:val="none" w:color="FFFFFF" w:sz="0"/>
              <w:bottom w:val="none" w:color="FFFFFF" w:sz="0"/>
              <w:right w:val="none" w:color="FFFFFF" w:sz="0"/>
            </w:tcBorders>
            <w:shd w:fill="FFFFFF" w:val="clear"/>
            <w:tcMar>
              <w:top w:type="dxa" w:w="0"/>
              <w:left w:type="dxa" w:w="300"/>
              <w:bottom w:type="dxa" w:w="0"/>
              <w:right w:type="dxa" w:w="300"/>
            </w:tcMar>
          </w:tcPr>
          <w:p>
            <w:pPr>
              <w:spacing w:after="0" w:before="0"/>
              <w:jc w:val="center"/>
            </w:pPr>
            <w:r>
              <w:rPr>
                <w:rFonts w:ascii="Arial" w:cs="Arial" w:eastAsia="Arial" w:hAnsi="Arial"/>
                <w:color w:val="BFBFBF"/>
                <w:sz w:val="20"/>
                <w:szCs w:val="20"/>
              </w:rPr>
              <w:t xml:space="preserve">▼</w:t>
            </w:r>
          </w:p>
        </w:tc>
      </w:tr>
      <w:tr>
        <w:tc>
          <w:tcPr>
            <w:tcW w:type="dxa" w:w="9360"/>
            <w:tcBorders>
              <w:top w:val="single" w:color="2E75B6" w:sz="2"/>
              <w:left w:val="single" w:color="2E75B6" w:sz="6"/>
              <w:bottom w:val="single" w:color="2E75B6" w:sz="2"/>
              <w:right w:val="single" w:color="2E75B6" w:sz="2"/>
            </w:tcBorders>
            <w:shd w:fill="2E75B6" w:val="clear"/>
            <w:tcMar>
              <w:top w:type="dxa" w:w="140"/>
              <w:left w:type="dxa" w:w="300"/>
              <w:bottom w:type="dxa" w:w="140"/>
              <w:right w:type="dxa" w:w="300"/>
            </w:tcMar>
          </w:tcPr>
          <w:p>
            <w:pPr>
              <w:spacing w:after="30" w:before="0"/>
              <w:jc w:val="center"/>
            </w:pPr>
            <w:r>
              <w:rPr>
                <w:rFonts w:ascii="Arial" w:cs="Arial" w:eastAsia="Arial" w:hAnsi="Arial"/>
                <w:b/>
                <w:bCs/>
                <w:color w:val="FFFFFF"/>
                <w:sz w:val="23"/>
                <w:szCs w:val="23"/>
              </w:rPr>
              <w:t xml:space="preserve">③ Platform Enforcement</w:t>
            </w:r>
          </w:p>
          <w:p>
            <w:pPr>
              <w:spacing w:after="30" w:before="0"/>
              <w:jc w:val="center"/>
            </w:pPr>
            <w:r>
              <w:rPr>
                <w:rFonts w:ascii="Arial" w:cs="Arial" w:eastAsia="Arial" w:hAnsi="Arial"/>
                <w:color w:val="FFFFFF"/>
                <w:sz w:val="18"/>
                <w:szCs w:val="18"/>
              </w:rPr>
              <w:t xml:space="preserve">Structured lifecycle  ·  CI/CD safety pipeline  ·  Model registry  ·  Gate authority</w:t>
            </w:r>
          </w:p>
          <w:p>
            <w:pPr>
              <w:spacing w:after="0" w:before="0"/>
              <w:jc w:val="center"/>
            </w:pPr>
            <w:r>
              <w:rPr>
                <w:rFonts w:ascii="Arial" w:cs="Arial" w:eastAsia="Arial" w:hAnsi="Arial"/>
                <w:color w:val="C8DFF5"/>
                <w:sz w:val="17"/>
                <w:szCs w:val="17"/>
              </w:rPr>
              <w:t xml:space="preserve">SpanForge reference implementation — delivery controls</w:t>
            </w:r>
          </w:p>
        </w:tc>
      </w:tr>
      <w:tr>
        <w:tc>
          <w:tcPr>
            <w:tcW w:type="dxa" w:w="9360"/>
            <w:tcBorders>
              <w:top w:val="none" w:color="FFFFFF" w:sz="0"/>
              <w:left w:val="none" w:color="FFFFFF" w:sz="0"/>
              <w:bottom w:val="none" w:color="FFFFFF" w:sz="0"/>
              <w:right w:val="none" w:color="FFFFFF" w:sz="0"/>
            </w:tcBorders>
            <w:shd w:fill="FFFFFF" w:val="clear"/>
            <w:tcMar>
              <w:top w:type="dxa" w:w="0"/>
              <w:left w:type="dxa" w:w="300"/>
              <w:bottom w:type="dxa" w:w="0"/>
              <w:right w:type="dxa" w:w="300"/>
            </w:tcMar>
          </w:tcPr>
          <w:p>
            <w:pPr>
              <w:spacing w:after="0" w:before="0"/>
              <w:jc w:val="center"/>
            </w:pPr>
            <w:r>
              <w:rPr>
                <w:rFonts w:ascii="Arial" w:cs="Arial" w:eastAsia="Arial" w:hAnsi="Arial"/>
                <w:color w:val="BFBFBF"/>
                <w:sz w:val="20"/>
                <w:szCs w:val="20"/>
              </w:rPr>
              <w:t xml:space="preserve">▼</w:t>
            </w:r>
          </w:p>
        </w:tc>
      </w:tr>
      <w:tr>
        <w:tc>
          <w:tcPr>
            <w:tcW w:type="dxa" w:w="9360"/>
            <w:tcBorders>
              <w:top w:val="single" w:color="7B5EA7" w:sz="2"/>
              <w:left w:val="single" w:color="7B5EA7" w:sz="6"/>
              <w:bottom w:val="single" w:color="7B5EA7" w:sz="2"/>
              <w:right w:val="single" w:color="7B5EA7" w:sz="2"/>
            </w:tcBorders>
            <w:shd w:fill="7B5EA7" w:val="clear"/>
            <w:tcMar>
              <w:top w:type="dxa" w:w="140"/>
              <w:left w:type="dxa" w:w="300"/>
              <w:bottom w:type="dxa" w:w="140"/>
              <w:right w:type="dxa" w:w="300"/>
            </w:tcMar>
          </w:tcPr>
          <w:p>
            <w:pPr>
              <w:spacing w:after="30" w:before="0"/>
              <w:jc w:val="center"/>
            </w:pPr>
            <w:r>
              <w:rPr>
                <w:rFonts w:ascii="Arial" w:cs="Arial" w:eastAsia="Arial" w:hAnsi="Arial"/>
                <w:b/>
                <w:bCs/>
                <w:color w:val="FFFFFF"/>
                <w:sz w:val="23"/>
                <w:szCs w:val="23"/>
              </w:rPr>
              <w:t xml:space="preserve">④ Cost Intelligence</w:t>
            </w:r>
          </w:p>
          <w:p>
            <w:pPr>
              <w:spacing w:after="30" w:before="0"/>
              <w:jc w:val="center"/>
            </w:pPr>
            <w:r>
              <w:rPr>
                <w:rFonts w:ascii="Arial" w:cs="Arial" w:eastAsia="Arial" w:hAnsi="Arial"/>
                <w:color w:val="FFFFFF"/>
                <w:sz w:val="18"/>
                <w:szCs w:val="18"/>
              </w:rPr>
              <w:t xml:space="preserve">Pre-commitment cost prediction  ·  Scenario comparison  ·  Optimisation recommendations</w:t>
            </w:r>
          </w:p>
          <w:p>
            <w:pPr>
              <w:spacing w:after="0" w:before="0"/>
              <w:jc w:val="center"/>
            </w:pPr>
            <w:r>
              <w:rPr>
                <w:rFonts w:ascii="Arial" w:cs="Arial" w:eastAsia="Arial" w:hAnsi="Arial"/>
                <w:color w:val="C8DFF5"/>
                <w:sz w:val="17"/>
                <w:szCs w:val="17"/>
              </w:rPr>
              <w:t xml:space="preserve">SpanForge reference implementation — Design phase cost governance</w:t>
            </w:r>
          </w:p>
        </w:tc>
      </w:tr>
      <w:tr>
        <w:tc>
          <w:tcPr>
            <w:tcW w:type="dxa" w:w="9360"/>
            <w:tcBorders>
              <w:top w:val="none" w:color="FFFFFF" w:sz="0"/>
              <w:left w:val="none" w:color="FFFFFF" w:sz="0"/>
              <w:bottom w:val="none" w:color="FFFFFF" w:sz="0"/>
              <w:right w:val="none" w:color="FFFFFF" w:sz="0"/>
            </w:tcBorders>
            <w:shd w:fill="FFFFFF" w:val="clear"/>
            <w:tcMar>
              <w:top w:type="dxa" w:w="0"/>
              <w:left w:type="dxa" w:w="300"/>
              <w:bottom w:type="dxa" w:w="0"/>
              <w:right w:type="dxa" w:w="300"/>
            </w:tcMar>
          </w:tcPr>
          <w:p>
            <w:pPr>
              <w:spacing w:after="0" w:before="0"/>
              <w:jc w:val="center"/>
            </w:pPr>
            <w:r>
              <w:rPr>
                <w:rFonts w:ascii="Arial" w:cs="Arial" w:eastAsia="Arial" w:hAnsi="Arial"/>
                <w:color w:val="BFBFBF"/>
                <w:sz w:val="20"/>
                <w:szCs w:val="20"/>
              </w:rPr>
              <w:t xml:space="preserve">▼</w:t>
            </w:r>
          </w:p>
        </w:tc>
      </w:tr>
      <w:tr>
        <w:tc>
          <w:tcPr>
            <w:tcW w:type="dxa" w:w="9360"/>
            <w:tcBorders>
              <w:top w:val="single" w:color="1A6B3A" w:sz="2"/>
              <w:left w:val="single" w:color="1A6B3A" w:sz="6"/>
              <w:bottom w:val="single" w:color="1A6B3A" w:sz="2"/>
              <w:right w:val="single" w:color="1A6B3A" w:sz="2"/>
            </w:tcBorders>
            <w:shd w:fill="1A6B3A" w:val="clear"/>
            <w:tcMar>
              <w:top w:type="dxa" w:w="140"/>
              <w:left w:type="dxa" w:w="300"/>
              <w:bottom w:type="dxa" w:w="140"/>
              <w:right w:type="dxa" w:w="300"/>
            </w:tcMar>
          </w:tcPr>
          <w:p>
            <w:pPr>
              <w:spacing w:after="30" w:before="0"/>
              <w:jc w:val="center"/>
            </w:pPr>
            <w:r>
              <w:rPr>
                <w:rFonts w:ascii="Arial" w:cs="Arial" w:eastAsia="Arial" w:hAnsi="Arial"/>
                <w:b/>
                <w:bCs/>
                <w:color w:val="FFFFFF"/>
                <w:sz w:val="23"/>
                <w:szCs w:val="23"/>
              </w:rPr>
              <w:t xml:space="preserve">⑤ Production Observability</w:t>
            </w:r>
          </w:p>
          <w:p>
            <w:pPr>
              <w:spacing w:after="30" w:before="0"/>
              <w:jc w:val="center"/>
            </w:pPr>
            <w:r>
              <w:rPr>
                <w:rFonts w:ascii="Arial" w:cs="Arial" w:eastAsia="Arial" w:hAnsi="Arial"/>
                <w:color w:val="FFFFFF"/>
                <w:sz w:val="18"/>
                <w:szCs w:val="18"/>
              </w:rPr>
              <w:t xml:space="preserve">Drift detection  ·  Consent boundaries  ·  Immutable audit logs  ·  Human-in-the-loop hooks</w:t>
            </w:r>
          </w:p>
          <w:p>
            <w:pPr>
              <w:spacing w:after="0" w:before="0"/>
              <w:jc w:val="center"/>
            </w:pPr>
            <w:r>
              <w:rPr>
                <w:rFonts w:ascii="Arial" w:cs="Arial" w:eastAsia="Arial" w:hAnsi="Arial"/>
                <w:color w:val="C8DFF5"/>
                <w:sz w:val="17"/>
                <w:szCs w:val="17"/>
              </w:rPr>
              <w:t xml:space="preserve">SpanForge reference implementation — live enforcement</w:t>
            </w:r>
          </w:p>
        </w:tc>
      </w:tr>
      <w:tr>
        <w:tc>
          <w:tcPr>
            <w:tcW w:type="dxa" w:w="9360"/>
            <w:tcBorders>
              <w:top w:val="none" w:color="FFFFFF" w:sz="0"/>
              <w:left w:val="none" w:color="FFFFFF" w:sz="0"/>
              <w:bottom w:val="none" w:color="FFFFFF" w:sz="0"/>
              <w:right w:val="none" w:color="FFFFFF" w:sz="0"/>
            </w:tcBorders>
            <w:shd w:fill="FFFFFF" w:val="clear"/>
            <w:tcMar>
              <w:top w:type="dxa" w:w="0"/>
              <w:left w:type="dxa" w:w="300"/>
              <w:bottom w:type="dxa" w:w="0"/>
              <w:right w:type="dxa" w:w="300"/>
            </w:tcMar>
          </w:tcPr>
          <w:p>
            <w:pPr>
              <w:spacing w:after="0" w:before="0"/>
              <w:jc w:val="center"/>
            </w:pPr>
            <w:r>
              <w:rPr>
                <w:rFonts w:ascii="Arial" w:cs="Arial" w:eastAsia="Arial" w:hAnsi="Arial"/>
                <w:color w:val="BFBFBF"/>
                <w:sz w:val="20"/>
                <w:szCs w:val="20"/>
              </w:rPr>
              <w:t xml:space="preserve">▼</w:t>
            </w:r>
          </w:p>
        </w:tc>
      </w:tr>
      <w:tr>
        <w:tc>
          <w:tcPr>
            <w:tcW w:type="dxa" w:w="9360"/>
            <w:tcBorders>
              <w:top w:val="single" w:color="F0F4F8" w:sz="2"/>
              <w:left w:val="single" w:color="F0F4F8" w:sz="6"/>
              <w:bottom w:val="single" w:color="F0F4F8" w:sz="2"/>
              <w:right w:val="single" w:color="F0F4F8" w:sz="2"/>
            </w:tcBorders>
            <w:shd w:fill="F0F4F8" w:val="clear"/>
            <w:tcMar>
              <w:top w:type="dxa" w:w="140"/>
              <w:left w:type="dxa" w:w="300"/>
              <w:bottom w:type="dxa" w:w="140"/>
              <w:right w:type="dxa" w:w="300"/>
            </w:tcMar>
          </w:tcPr>
          <w:p>
            <w:pPr>
              <w:spacing w:after="30" w:before="0"/>
              <w:jc w:val="center"/>
            </w:pPr>
            <w:r>
              <w:rPr>
                <w:rFonts w:ascii="Arial" w:cs="Arial" w:eastAsia="Arial" w:hAnsi="Arial"/>
                <w:b/>
                <w:bCs/>
                <w:color w:val="595959"/>
                <w:sz w:val="23"/>
                <w:szCs w:val="23"/>
              </w:rPr>
              <w:t xml:space="preserve">⑥ Enterprise AI System</w:t>
            </w:r>
          </w:p>
          <w:p>
            <w:pPr>
              <w:spacing w:after="30" w:before="0"/>
              <w:jc w:val="center"/>
            </w:pPr>
            <w:r>
              <w:rPr>
                <w:rFonts w:ascii="Arial" w:cs="Arial" w:eastAsia="Arial" w:hAnsi="Arial"/>
                <w:color w:val="595959"/>
                <w:sz w:val="18"/>
                <w:szCs w:val="18"/>
              </w:rPr>
              <w:t xml:space="preserve">Models  ·  Agents  ·  Data Pipelines  ·  APIs  ·  Human Workflows</w:t>
            </w:r>
          </w:p>
          <w:p>
            <w:pPr>
              <w:spacing w:after="0" w:before="0"/>
              <w:jc w:val="center"/>
            </w:pPr>
            <w:r>
              <w:rPr>
                <w:rFonts w:ascii="Arial" w:cs="Arial" w:eastAsia="Arial" w:hAnsi="Arial"/>
                <w:color w:val="888888"/>
                <w:sz w:val="17"/>
                <w:szCs w:val="17"/>
              </w:rPr>
              <w:t xml:space="preserve">Customer — governed by layers above</w:t>
            </w:r>
          </w:p>
        </w:tc>
      </w:tr>
    </w:tbl>
    <w:p>
      <w:pPr>
        <w:spacing w:after="60" w:before="80"/>
      </w:pPr>
      <w:r>
        <w:t xml:space="preserve"/>
      </w:r>
    </w:p>
    <w:p>
      <w:pPr>
        <w:spacing w:after="0" w:before="40"/>
        <w:jc w:val="center"/>
      </w:pPr>
      <w:r>
        <w:rPr>
          <w:rFonts w:ascii="Arial" w:cs="Arial" w:eastAsia="Arial" w:hAnsi="Arial"/>
          <w:color w:val="595959"/>
          <w:sz w:val="18"/>
          <w:szCs w:val="18"/>
        </w:rPr>
        <w:t xml:space="preserve">Figure 1: The T.R.U.S.T. Governance Stack. Layers ②–⑤ define the standard. SpanForge is the reference implementation.</w:t>
      </w:r>
    </w:p>
    <w:p>
      <w:pPr>
        <w:spacing w:after="0" w:before="200"/>
      </w:pPr>
      <w:r>
        <w:t xml:space="preserve"/>
      </w:r>
    </w:p>
    <w:p>
      <w:pPr>
        <w:pStyle w:val="Heading1"/>
        <w:pBdr>
          <w:bottom w:val="single" w:color="2E75B6" w:sz="8" w:space="4"/>
        </w:pBdr>
        <w:spacing w:after="120" w:before="400"/>
      </w:pPr>
      <w:r>
        <w:rPr>
          <w:rFonts w:ascii="Arial" w:cs="Arial" w:eastAsia="Arial" w:hAnsi="Arial"/>
          <w:b/>
          <w:bCs/>
          <w:color w:val="1F4E79"/>
          <w:sz w:val="34"/>
          <w:szCs w:val="34"/>
        </w:rPr>
        <w:t xml:space="preserve">4.  The Five Dimensions of T.R.U.S.T.</w:t>
      </w:r>
    </w:p>
    <w:p>
      <w:pPr>
        <w:spacing w:after="100" w:before="80"/>
        <w:jc w:val="both"/>
      </w:pPr>
      <w:r>
        <w:rPr>
          <w:rFonts w:ascii="Arial" w:cs="Arial" w:eastAsia="Arial" w:hAnsi="Arial"/>
          <w:sz w:val="22"/>
          <w:szCs w:val="22"/>
        </w:rPr>
        <w:t xml:space="preserve">Each T.R.U.S.T. dimension defines a governance requirement and the class of technical control that satisfies it. SpanForge's platform is the reference implementation — providing the tooling, gate structure, and certification process for each dimension. Any organisation can implement each dimension using aligned tooling; SpanForge is the fastest path to full compliance.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Authoritative Definition</w:t>
            </w:r>
          </w:p>
          <w:p>
            <w:pPr>
              <w:spacing w:after="40" w:before="0"/>
            </w:pPr>
            <w:r>
              <w:rPr>
                <w:rFonts w:ascii="Arial" w:cs="Arial" w:eastAsia="Arial" w:hAnsi="Arial"/>
                <w:sz w:val="20"/>
                <w:szCs w:val="20"/>
              </w:rPr>
              <w:t xml:space="preserve">T.R.U.S.T. = Transparency · Responsibility · User Rights · Safety Guardrails · Traceability</w:t>
            </w:r>
          </w:p>
          <w:p>
            <w:pPr>
              <w:spacing w:after="40" w:before="0"/>
            </w:pPr>
            <w:r>
              <w:rPr>
                <w:rFonts w:ascii="Arial" w:cs="Arial" w:eastAsia="Arial" w:hAnsi="Arial"/>
                <w:sz w:val="20"/>
                <w:szCs w:val="20"/>
              </w:rPr>
              <w:t xml:space="preserve">This is the authoritative open standard definition. SpanForge is the reference implementation of this standard across all platform documentation, gate criteria, and compliance tooling.</w:t>
            </w:r>
          </w:p>
        </w:tc>
      </w:tr>
    </w:tbl>
    <w:p>
      <w:pPr>
        <w:spacing w:after="0" w:before="160"/>
      </w:pPr>
      <w:r>
        <w:t xml:space="preserve"/>
      </w:r>
    </w:p>
    <w:p>
      <w:pPr>
        <w:pStyle w:val="Heading2"/>
        <w:spacing w:after="100" w:before="280"/>
      </w:pPr>
      <w:r>
        <w:rPr>
          <w:rFonts w:ascii="Arial" w:cs="Arial" w:eastAsia="Arial" w:hAnsi="Arial"/>
          <w:b/>
          <w:bCs/>
          <w:color w:val="2E75B6"/>
          <w:sz w:val="27"/>
          <w:szCs w:val="27"/>
        </w:rPr>
        <w:t xml:space="preserve">4.1  Transparency</w:t>
      </w:r>
    </w:p>
    <w:p>
      <w:pPr>
        <w:spacing w:after="100" w:before="80"/>
        <w:jc w:val="both"/>
      </w:pPr>
      <w:r>
        <w:rPr>
          <w:rFonts w:ascii="Arial" w:cs="Arial" w:eastAsia="Arial" w:hAnsi="Arial"/>
          <w:sz w:val="22"/>
          <w:szCs w:val="22"/>
        </w:rPr>
        <w:t xml:space="preserve">Transparency requires that all parties affected by an AI decision can understand how that decision was reached. AI behaviour must be intelligible to users, regulators, and auditors — not only to the technical teams who built the system. Unintelligible outputs erode trust and create direct legal exposure under EU AI Act transparency obligations.</w:t>
      </w:r>
    </w:p>
    <w:p>
      <w:pPr>
        <w:spacing w:after="100" w:before="80"/>
        <w:jc w:val="both"/>
      </w:pPr>
      <w:r>
        <w:rPr>
          <w:rFonts w:ascii="Arial" w:cs="Arial" w:eastAsia="Arial" w:hAnsi="Arial"/>
          <w:sz w:val="22"/>
          <w:szCs w:val="22"/>
        </w:rPr>
        <w:t xml:space="preserve">The challenge is structural. The most accurate models — deep neural networks with millions of parameters — are typically the most opaque. The T.R.U.S.T. Transparency dimension requires decision driver visualisation: a technical output from the live inference path that surfaces the top contributing factors in business-readable terms, generated at inference time — not reconstructed after the fact.</w:t>
      </w:r>
    </w:p>
    <w:p>
      <w:pPr>
        <w:spacing w:after="60" w:before="80"/>
      </w:pPr>
      <w:r>
        <w:t xml:space="preserve"/>
      </w:r>
    </w:p>
    <w:p>
      <w:pPr>
        <w:spacing w:after="100" w:before="80"/>
        <w:jc w:val="both"/>
      </w:pPr>
      <w:r>
        <w:rPr>
          <w:rFonts w:ascii="Arial" w:cs="Arial" w:eastAsia="Arial" w:hAnsi="Arial"/>
          <w:sz w:val="22"/>
          <w:szCs w:val="22"/>
        </w:rPr>
        <w:t xml:space="preserve">For example, a credit decision output satisfying T.R.U.S.T. Transparency might display: 'Primary factors: debt-to-income ratio (weight: 0.42), recent missed payments (weight: 0.31), employment tenure (weight: 0.18).' This is not a post-hoc summary. It is part of the decision output.</w:t>
      </w:r>
    </w:p>
    <w:p>
      <w:pPr>
        <w:spacing w:after="100" w:before="80"/>
        <w:jc w:val="both"/>
      </w:pPr>
      <w:r>
        <w:rPr>
          <w:rFonts w:ascii="Arial" w:cs="Arial" w:eastAsia="Arial" w:hAnsi="Arial"/>
          <w:sz w:val="22"/>
          <w:szCs w:val="22"/>
        </w:rPr>
        <w:t xml:space="preserve">A meaningful transparency standard also distinguishes between technical transparency (access to source code and model parameters — necessary for audit, insufficient for users) and explainability (conveying decision logic to non-technical users — required under EU AI Act and GDPR transparency and explanation obligations).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Method</w:t>
            </w:r>
          </w:p>
        </w:tc>
        <w:tc>
          <w:tcPr>
            <w:tcW w:type="dxa" w:w="3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Technical Approach</w:t>
            </w:r>
          </w:p>
        </w:tc>
        <w:tc>
          <w:tcPr>
            <w:tcW w:type="dxa" w:w="3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Appropriate Context</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Intrinsic Methods</w:t>
            </w:r>
          </w:p>
        </w:tc>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Interpretable architectures such as decision trees and linear models</w:t>
            </w:r>
          </w:p>
        </w:tc>
        <w:tc>
          <w:tcPr>
            <w:tcW w:type="dxa" w:w="33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Low-risk, rules-based tasks; credit scoring; administrative automation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Post-hoc Methods</w:t>
            </w:r>
          </w:p>
        </w:tc>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SHAP values, LIME, saliency maps, feature importance rankings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Complex image recognition; clinical diagnostic support; NLP classification</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Model Documentation</w:t>
            </w:r>
          </w:p>
        </w:tc>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Model Cards: training data, intended use, known limitations, performance by subgroup</w:t>
            </w:r>
          </w:p>
        </w:tc>
        <w:tc>
          <w:tcPr>
            <w:tcW w:type="dxa" w:w="33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All deployments; required at Govern phase for EU AI Act compliance</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Risk: Post-hoc Explanations Can Be Inaccurate</w:t>
            </w:r>
          </w:p>
          <w:p>
            <w:pPr>
              <w:spacing w:after="40" w:before="0"/>
            </w:pPr>
            <w:r>
              <w:rPr>
                <w:rFonts w:ascii="Arial" w:cs="Arial" w:eastAsia="Arial" w:hAnsi="Arial"/>
                <w:sz w:val="20"/>
                <w:szCs w:val="20"/>
              </w:rPr>
              <w:t xml:space="preserve">Post-hoc explanations can produce plausible-sounding rationalisations that do not reflect the model's actual internal logic. In healthcare, clinicians receiving AI outputs as confidence scores without reasoning paths must explain decisions to patients they may not fully understand themselves.</w:t>
            </w:r>
          </w:p>
          <w:p>
            <w:pPr>
              <w:spacing w:after="40" w:before="0"/>
            </w:pPr>
            <w:r>
              <w:rPr>
                <w:rFonts w:ascii="Arial" w:cs="Arial" w:eastAsia="Arial" w:hAnsi="Arial"/>
                <w:sz w:val="20"/>
                <w:szCs w:val="20"/>
              </w:rPr>
              <w:t xml:space="preserve">T.R.U.S.T. addresses this by requiring that explanations be generated from the live inference path — not reconstructed after the fact.</w:t>
            </w:r>
          </w:p>
        </w:tc>
      </w:tr>
    </w:tbl>
    <w:p>
      <w:pPr>
        <w:spacing w:after="0" w:before="160"/>
      </w:pPr>
      <w:r>
        <w:t xml:space="preserve"/>
      </w:r>
    </w:p>
    <w:p>
      <w:pPr>
        <w:spacing w:after="80" w:before="40"/>
        <w:ind w:left="360"/>
      </w:pPr>
      <w:r>
        <w:rPr>
          <w:rFonts w:ascii="Arial" w:cs="Arial" w:eastAsia="Arial" w:hAnsi="Arial"/>
          <w:color w:val="2E75B6"/>
          <w:sz w:val="19"/>
          <w:szCs w:val="19"/>
        </w:rPr>
        <w:t xml:space="preserve">→ SpanForge Way v4.9: System 03 — Phase 04 (Govern): Model Card requirements</w:t>
      </w:r>
    </w:p>
    <w:p>
      <w:pPr>
        <w:pStyle w:val="Heading2"/>
        <w:spacing w:after="100" w:before="280"/>
      </w:pPr>
      <w:r>
        <w:rPr>
          <w:rFonts w:ascii="Arial" w:cs="Arial" w:eastAsia="Arial" w:hAnsi="Arial"/>
          <w:b/>
          <w:bCs/>
          <w:color w:val="2E75B6"/>
          <w:sz w:val="27"/>
          <w:szCs w:val="27"/>
        </w:rPr>
        <w:t xml:space="preserve">4.2  Responsibility</w:t>
      </w:r>
    </w:p>
    <w:p>
      <w:pPr>
        <w:spacing w:after="100" w:before="80"/>
        <w:jc w:val="both"/>
      </w:pPr>
      <w:r>
        <w:rPr>
          <w:rFonts w:ascii="Arial" w:cs="Arial" w:eastAsia="Arial" w:hAnsi="Arial"/>
          <w:sz w:val="22"/>
          <w:szCs w:val="22"/>
        </w:rPr>
        <w:t xml:space="preserve">Responsibility requires that every AI system has a named human owner who is accountable for its behaviour in production — including when it fails. Without assigned ownership, governance decisions become advisory and incidents have no defined remediation path. Regulators assign liability to organisations by default.</w:t>
      </w:r>
    </w:p>
    <w:p>
      <w:pPr>
        <w:spacing w:after="100" w:before="80"/>
        <w:jc w:val="both"/>
      </w:pPr>
      <w:r>
        <w:rPr>
          <w:rFonts w:ascii="Arial" w:cs="Arial" w:eastAsia="Arial" w:hAnsi="Arial"/>
          <w:sz w:val="22"/>
          <w:szCs w:val="22"/>
        </w:rPr>
        <w:t xml:space="preserve">Accountability is frequently diluted in organisations where AI tools are introduced without formal ethical risk assessments or approval pathways. The T.R.U.S.T. Responsibility dimension makes named ownership a non-negotiable gate condition, not a post-deployment formality. Responsibility extends to cost: the Responsibility dimension requires that infrastructure cost is visible at design time, ensuring accountable owners understand the financial implications of architecture decisions before committing to them.</w:t>
      </w:r>
    </w:p>
    <w:p>
      <w:pPr>
        <w:pStyle w:val="Heading3"/>
        <w:spacing w:after="80" w:before="180"/>
      </w:pPr>
      <w:r>
        <w:rPr>
          <w:rFonts w:ascii="Arial" w:cs="Arial" w:eastAsia="Arial" w:hAnsi="Arial"/>
          <w:b/>
          <w:bCs/>
          <w:color w:val="595959"/>
          <w:sz w:val="24"/>
          <w:szCs w:val="24"/>
        </w:rPr>
        <w:t xml:space="preserve">The Distributed Accountability Problem</w:t>
      </w:r>
    </w:p>
    <w:p>
      <w:pPr>
        <w:spacing w:after="100" w:before="80"/>
        <w:jc w:val="both"/>
      </w:pPr>
      <w:r>
        <w:rPr>
          <w:rFonts w:ascii="Arial" w:cs="Arial" w:eastAsia="Arial" w:hAnsi="Arial"/>
          <w:sz w:val="22"/>
          <w:szCs w:val="22"/>
        </w:rPr>
        <w:t xml:space="preserve">When an autonomous vehicle fails, liability may fall on the software developer, the manufacturer, the fleet operator, or the regulator — and each party's position is that it belongs with one of the others. AI systems in enterprise settings produce the same ambiguity at scale. T.R.U.S.T. resolves this by requiring a named, budget-accountable sponsor whose identity is documented before any gate review is scheduled.</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Responsibility Control</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Is Required</w:t>
            </w:r>
          </w:p>
        </w:tc>
        <w:tc>
          <w:tcPr>
            <w:tcW w:type="dxa" w:w="3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How It Is Enforced</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Model Registry</w:t>
            </w:r>
          </w:p>
        </w:tc>
        <w:tc>
          <w:tcPr>
            <w:tcW w:type="dxa" w:w="3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Model name, purpose, risk tier, owner, and deployment date documented before production</w:t>
            </w:r>
          </w:p>
        </w:tc>
        <w:tc>
          <w:tcPr>
            <w:tcW w:type="dxa" w:w="35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Required at Govern phase; blocks Scale phase without completion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Escalation Pathways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Predefined paths for remediating harmful outputs — who is notified, in what sequence, within what SLA</w:t>
            </w:r>
          </w:p>
        </w:tc>
        <w:tc>
          <w:tcPr>
            <w:tcW w:type="dxa" w:w="3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Defined in incident playbook; tested before production sign-off</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Cross-functional Governance</w:t>
            </w:r>
          </w:p>
        </w:tc>
        <w:tc>
          <w:tcPr>
            <w:tcW w:type="dxa" w:w="3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Periodic reviews involving legal, compliance, IT, and business representatives</w:t>
            </w:r>
          </w:p>
        </w:tc>
        <w:tc>
          <w:tcPr>
            <w:tcW w:type="dxa" w:w="35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Gate authority constitution required before any gate review</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Lifecycle Ownership</w:t>
            </w:r>
          </w:p>
        </w:tc>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Named owner accountable from deployment through decommissioning</w:t>
            </w:r>
          </w:p>
        </w:tc>
        <w:tc>
          <w:tcPr>
            <w:tcW w:type="dxa" w:w="3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Drift incidents routed to named owner automatically</w:t>
            </w:r>
          </w:p>
        </w:tc>
      </w:tr>
    </w:tbl>
    <w:p>
      <w:pPr>
        <w:spacing w:after="0" w:before="160"/>
      </w:pPr>
      <w:r>
        <w:t xml:space="preserve"/>
      </w:r>
    </w:p>
    <w:p>
      <w:pPr>
        <w:spacing w:after="80" w:before="40"/>
        <w:ind w:left="360"/>
      </w:pPr>
      <w:r>
        <w:rPr>
          <w:rFonts w:ascii="Arial" w:cs="Arial" w:eastAsia="Arial" w:hAnsi="Arial"/>
          <w:color w:val="2E75B6"/>
          <w:sz w:val="19"/>
          <w:szCs w:val="19"/>
        </w:rPr>
        <w:t xml:space="preserve">→ SpanForge Way v4.9: System 01 — Gate Authority design; System 03 — Phase 04 (Govern)</w:t>
      </w:r>
    </w:p>
    <w:p>
      <w:pPr>
        <w:pStyle w:val="Heading2"/>
        <w:spacing w:after="100" w:before="280"/>
      </w:pPr>
      <w:r>
        <w:rPr>
          <w:rFonts w:ascii="Arial" w:cs="Arial" w:eastAsia="Arial" w:hAnsi="Arial"/>
          <w:b/>
          <w:bCs/>
          <w:color w:val="2E75B6"/>
          <w:sz w:val="27"/>
          <w:szCs w:val="27"/>
        </w:rPr>
        <w:t xml:space="preserve">4.3  User Rights</w:t>
      </w:r>
    </w:p>
    <w:p>
      <w:pPr>
        <w:spacing w:after="100" w:before="80"/>
        <w:jc w:val="both"/>
      </w:pPr>
      <w:r>
        <w:rPr>
          <w:rFonts w:ascii="Arial" w:cs="Arial" w:eastAsia="Arial" w:hAnsi="Arial"/>
          <w:sz w:val="22"/>
          <w:szCs w:val="22"/>
        </w:rPr>
        <w:t xml:space="preserve">User Rights requires that every person affected by an AI decision has access to consent mechanisms, meaningful transparency about how the decision was made, and a defined recourse pathway. Automated decisions affecting individuals without consent or explanation create direct legal liability under GDPR and the EU AI Act. Privacy by design and security by default are non-negotiable requirements — enforced technically, not managed through policy documents alone.</w:t>
      </w:r>
    </w:p>
    <w:p>
      <w:pPr>
        <w:pStyle w:val="Heading3"/>
        <w:spacing w:after="80" w:before="180"/>
      </w:pPr>
      <w:r>
        <w:rPr>
          <w:rFonts w:ascii="Arial" w:cs="Arial" w:eastAsia="Arial" w:hAnsi="Arial"/>
          <w:b/>
          <w:bCs/>
          <w:color w:val="595959"/>
          <w:sz w:val="24"/>
          <w:szCs w:val="24"/>
        </w:rPr>
        <w:t xml:space="preserve">Statutory Basis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User Right</w:t>
            </w:r>
          </w:p>
        </w:tc>
        <w:tc>
          <w:tcPr>
            <w:tcW w:type="dxa" w:w="27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Statutory Reference</w:t>
            </w:r>
          </w:p>
        </w:tc>
        <w:tc>
          <w:tcPr>
            <w:tcW w:type="dxa" w:w="46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Enterprise Requirement</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Right to Know</w:t>
            </w:r>
          </w:p>
        </w:tc>
        <w:tc>
          <w:tcPr>
            <w:tcW w:type="dxa" w:w="27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EU AI Act Art. 26</w:t>
            </w:r>
          </w:p>
        </w:tc>
        <w:tc>
          <w:tcPr>
            <w:tcW w:type="dxa" w:w="46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Disclose when a user is interacting with an AI system; prohibited to present AI as human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Right to Opt-Out</w:t>
            </w:r>
          </w:p>
        </w:tc>
        <w:tc>
          <w:tcPr>
            <w:tcW w:type="dxa" w:w="27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GDPR Art. 22 / CCPA</w:t>
            </w:r>
          </w:p>
        </w:tc>
        <w:tc>
          <w:tcPr>
            <w:tcW w:type="dxa" w:w="4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Provide a defined path for human review of automated decisions with material impact</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Right to Explanation</w:t>
            </w:r>
          </w:p>
        </w:tc>
        <w:tc>
          <w:tcPr>
            <w:tcW w:type="dxa" w:w="27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EU AI Act &amp; GDPR (transparency and explanation obligations)</w:t>
            </w:r>
          </w:p>
        </w:tc>
        <w:tc>
          <w:tcPr>
            <w:tcW w:type="dxa" w:w="46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Provide a meaningful, decision-specific breakdown of AI reasoning on request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Right to be Forgotten</w:t>
            </w:r>
          </w:p>
        </w:tc>
        <w:tc>
          <w:tcPr>
            <w:tcW w:type="dxa" w:w="27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GDPR Art. 17</w:t>
            </w:r>
          </w:p>
        </w:tc>
        <w:tc>
          <w:tcPr>
            <w:tcW w:type="dxa" w:w="4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Enable erasure of personal data from training datasets; document compliance in model registry</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Right to Data Portability</w:t>
            </w:r>
          </w:p>
        </w:tc>
        <w:tc>
          <w:tcPr>
            <w:tcW w:type="dxa" w:w="27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GDPR Art. 20</w:t>
            </w:r>
          </w:p>
        </w:tc>
        <w:tc>
          <w:tcPr>
            <w:tcW w:type="dxa" w:w="46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Enable data export; document data flows and storage locations in the model registry</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The Human-in-the-Loop Paradox</w:t>
            </w:r>
          </w:p>
          <w:p>
            <w:pPr>
              <w:spacing w:after="40" w:before="0"/>
            </w:pPr>
            <w:r>
              <w:rPr>
                <w:rFonts w:ascii="Arial" w:cs="Arial" w:eastAsia="Arial" w:hAnsi="Arial"/>
                <w:sz w:val="20"/>
                <w:szCs w:val="20"/>
              </w:rPr>
              <w:t xml:space="preserve">When a clinician or manager uses an AI output as one factor among many, the formal legal position on explanation obligations shifts — but the practical risk does not. Humans in advisory AI contexts routinely defer to the AI's output, even when they formally retain decision authority.</w:t>
            </w:r>
          </w:p>
          <w:p>
            <w:pPr>
              <w:spacing w:after="40" w:before="0"/>
            </w:pPr>
            <w:r>
              <w:rPr>
                <w:rFonts w:ascii="Arial" w:cs="Arial" w:eastAsia="Arial" w:hAnsi="Arial"/>
                <w:sz w:val="20"/>
                <w:szCs w:val="20"/>
              </w:rPr>
              <w:t xml:space="preserve">T.R.U.S.T. addresses this through 'decision-relevant clarity': the standard is not whether an explanation was technically provided, but whether it was communicated in a form that enabled genuinely informed human decision-making.</w:t>
            </w:r>
          </w:p>
        </w:tc>
      </w:tr>
    </w:tbl>
    <w:p>
      <w:pPr>
        <w:spacing w:after="0" w:before="160"/>
      </w:pPr>
      <w:r>
        <w:t xml:space="preserve"/>
      </w:r>
    </w:p>
    <w:p>
      <w:pPr>
        <w:spacing w:after="80" w:before="40"/>
        <w:ind w:left="360"/>
      </w:pPr>
      <w:r>
        <w:rPr>
          <w:rFonts w:ascii="Arial" w:cs="Arial" w:eastAsia="Arial" w:hAnsi="Arial"/>
          <w:color w:val="2E75B6"/>
          <w:sz w:val="19"/>
          <w:szCs w:val="19"/>
        </w:rPr>
        <w:t xml:space="preserve">→ SpanForge Way v4.9: System 03 — Human-in-the-Loop System Design</w:t>
      </w:r>
    </w:p>
    <w:p>
      <w:pPr>
        <w:pStyle w:val="Heading2"/>
        <w:spacing w:after="100" w:before="280"/>
      </w:pPr>
      <w:r>
        <w:rPr>
          <w:rFonts w:ascii="Arial" w:cs="Arial" w:eastAsia="Arial" w:hAnsi="Arial"/>
          <w:b/>
          <w:bCs/>
          <w:color w:val="2E75B6"/>
          <w:sz w:val="27"/>
          <w:szCs w:val="27"/>
        </w:rPr>
        <w:t xml:space="preserve">4.4  Safety Guardrails</w:t>
      </w:r>
    </w:p>
    <w:p>
      <w:pPr>
        <w:spacing w:after="100" w:before="80"/>
        <w:jc w:val="both"/>
      </w:pPr>
      <w:r>
        <w:rPr>
          <w:rFonts w:ascii="Arial" w:cs="Arial" w:eastAsia="Arial" w:hAnsi="Arial"/>
          <w:sz w:val="22"/>
          <w:szCs w:val="22"/>
        </w:rPr>
        <w:t xml:space="preserve">Safety Guardrails requires that technical constraints are embedded in the AI system's architecture from the outset — not documented as policies and left to human compliance. AI risks emerge from the learning process itself: they are statistical properties of model behaviour, not coding errors, and cannot be governed by intention alone.</w:t>
      </w:r>
    </w:p>
    <w:p>
      <w:pPr>
        <w:spacing w:after="100" w:before="80"/>
        <w:jc w:val="both"/>
      </w:pPr>
      <w:r>
        <w:rPr>
          <w:rFonts w:ascii="Arial" w:cs="Arial" w:eastAsia="Arial" w:hAnsi="Arial"/>
          <w:sz w:val="22"/>
          <w:szCs w:val="22"/>
        </w:rPr>
        <w:t xml:space="preserve">Industry research indicates 1,700+ distinct AI risk entries across seven domains (MIT FutureTech AI Risk Repository, 2024). T.R.U.S.T. integrates these into the Safety Guardrails dimension with particular focus on adversarial threats across the machine learning lifecycle.</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900"/>
        <w:gridCol w:w="29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Attack Type</w:t>
            </w:r>
          </w:p>
        </w:tc>
        <w:tc>
          <w:tcPr>
            <w:tcW w:type="dxa" w:w="17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Lifecycle Phase</w:t>
            </w:r>
          </w:p>
        </w:tc>
        <w:tc>
          <w:tcPr>
            <w:tcW w:type="dxa" w:w="2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Mechanism</w:t>
            </w:r>
          </w:p>
        </w:tc>
        <w:tc>
          <w:tcPr>
            <w:tcW w:type="dxa" w:w="2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Mitigation Approach</w:t>
            </w:r>
          </w:p>
        </w:tc>
      </w:tr>
      <w:tr>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Poisoning</w:t>
            </w:r>
          </w:p>
        </w:tc>
        <w:tc>
          <w:tcPr>
            <w:tcW w:type="dxa" w:w="17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Training</w:t>
            </w:r>
          </w:p>
        </w:tc>
        <w:tc>
          <w:tcPr>
            <w:tcW w:type="dxa" w:w="29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Injecting malicious samples to embed backdoor behaviours</w:t>
            </w:r>
          </w:p>
        </w:tc>
        <w:tc>
          <w:tcPr>
            <w:tcW w:type="dxa" w:w="29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Holdout set integrity controls; data provenance required before pilot investment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Evasion</w:t>
            </w:r>
          </w:p>
        </w:tc>
        <w:tc>
          <w:tcPr>
            <w:tcW w:type="dxa" w:w="17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Inference</w:t>
            </w:r>
          </w:p>
        </w:tc>
        <w:tc>
          <w:tcPr>
            <w:tcW w:type="dxa" w:w="29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Adding imperceptible perturbations to inputs to cause misclassification</w:t>
            </w:r>
          </w:p>
        </w:tc>
        <w:tc>
          <w:tcPr>
            <w:tcW w:type="dxa" w:w="2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Adversarial test suite at Behaviour gate; regression testing on deployment</w:t>
            </w:r>
          </w:p>
        </w:tc>
      </w:tr>
      <w:tr>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Model Extraction</w:t>
            </w:r>
          </w:p>
        </w:tc>
        <w:tc>
          <w:tcPr>
            <w:tcW w:type="dxa" w:w="17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Inference</w:t>
            </w:r>
          </w:p>
        </w:tc>
        <w:tc>
          <w:tcPr>
            <w:tcW w:type="dxa" w:w="29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Systematically querying the API to reconstruct model parameters and IP</w:t>
            </w:r>
          </w:p>
        </w:tc>
        <w:tc>
          <w:tcPr>
            <w:tcW w:type="dxa" w:w="29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Rate limiting and anomaly detection; tool call logging</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Model Inversion</w:t>
            </w:r>
          </w:p>
        </w:tc>
        <w:tc>
          <w:tcPr>
            <w:tcW w:type="dxa" w:w="17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Inference</w:t>
            </w:r>
          </w:p>
        </w:tc>
        <w:tc>
          <w:tcPr>
            <w:tcW w:type="dxa" w:w="29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Reconstructing training data from model outputs</w:t>
            </w:r>
          </w:p>
        </w:tc>
        <w:tc>
          <w:tcPr>
            <w:tcW w:type="dxa" w:w="2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Output monitoring for data pattern anomalies; consent boundary enforcement</w:t>
            </w:r>
          </w:p>
        </w:tc>
      </w:tr>
    </w:tbl>
    <w:p>
      <w:pPr>
        <w:spacing w:after="80" w:before="160"/>
      </w:pPr>
      <w:r>
        <w:t xml:space="preserve"/>
      </w:r>
    </w:p>
    <w:p>
      <w:pPr>
        <w:pStyle w:val="Heading3"/>
        <w:spacing w:after="80" w:before="180"/>
      </w:pPr>
      <w:r>
        <w:rPr>
          <w:rFonts w:ascii="Arial" w:cs="Arial" w:eastAsia="Arial" w:hAnsi="Arial"/>
          <w:b/>
          <w:bCs/>
          <w:color w:val="595959"/>
          <w:sz w:val="24"/>
          <w:szCs w:val="24"/>
        </w:rPr>
        <w:t xml:space="preserve">The Six-Gate Safety Pipeline</w:t>
      </w:r>
    </w:p>
    <w:p>
      <w:pPr>
        <w:spacing w:after="100" w:before="80"/>
        <w:jc w:val="both"/>
      </w:pPr>
      <w:r>
        <w:rPr>
          <w:rFonts w:ascii="Arial" w:cs="Arial" w:eastAsia="Arial" w:hAnsi="Arial"/>
          <w:sz w:val="22"/>
          <w:szCs w:val="22"/>
        </w:rPr>
        <w:t xml:space="preserve">Safety Guardrails are technically enforced through a mandatory CI/CD Build pipeline. Six sequential gates must each pass before an AI artefact progresses to production. Nothing ships with any gate uncleared.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Gate</w:t>
            </w:r>
          </w:p>
        </w:tc>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Name</w:t>
            </w:r>
          </w:p>
        </w:tc>
        <w:tc>
          <w:tcPr>
            <w:tcW w:type="dxa" w:w="6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Is Checked</w:t>
            </w:r>
          </w:p>
        </w:tc>
      </w:tr>
      <w:tr>
        <w:tc>
          <w:tcPr>
            <w:tcW w:type="dxa" w:w="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01</w:t>
            </w:r>
          </w:p>
        </w:tc>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Security</w:t>
            </w:r>
          </w:p>
        </w:tc>
        <w:tc>
          <w:tcPr>
            <w:tcW w:type="dxa" w:w="6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exposed secrets or API keys; no non-compliant PII usage in prompts or training data</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02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Quality</w:t>
            </w:r>
          </w:p>
        </w:tc>
        <w:tc>
          <w:tcPr>
            <w:tcW w:type="dxa" w:w="6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Prompt validity; token budget compliance; configuration correctness; schema conformance</w:t>
            </w:r>
          </w:p>
        </w:tc>
      </w:tr>
      <w:tr>
        <w:tc>
          <w:tcPr>
            <w:tcW w:type="dxa" w:w="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03</w:t>
            </w:r>
          </w:p>
        </w:tc>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Behaviour</w:t>
            </w:r>
          </w:p>
        </w:tc>
        <w:tc>
          <w:tcPr>
            <w:tcW w:type="dxa" w:w="6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Behaviour tests pass; no regressions against baseline; hallucination score within threshold (factual accuracy rate on a held-out evaluation set via task-specific benchmarks and retrieval grounding checks)</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04</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Performance</w:t>
            </w:r>
          </w:p>
        </w:tc>
        <w:tc>
          <w:tcPr>
            <w:tcW w:type="dxa" w:w="6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Latency within SLA; load testing confirms expected throughput under production conditions</w:t>
            </w:r>
          </w:p>
        </w:tc>
      </w:tr>
      <w:tr>
        <w:tc>
          <w:tcPr>
            <w:tcW w:type="dxa" w:w="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05</w:t>
            </w:r>
          </w:p>
        </w:tc>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Governance</w:t>
            </w:r>
          </w:p>
        </w:tc>
        <w:tc>
          <w:tcPr>
            <w:tcW w:type="dxa" w:w="6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Consent respected; output policies enforced; prompt injection resistance validated</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06</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Deploy</w:t>
            </w:r>
          </w:p>
        </w:tc>
        <w:tc>
          <w:tcPr>
            <w:tcW w:type="dxa" w:w="6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Live monitoring active; drift detection configured; incident playbooks in place and tested</w:t>
            </w:r>
          </w:p>
        </w:tc>
      </w:tr>
    </w:tbl>
    <w:p>
      <w:pPr>
        <w:spacing w:after="80" w:before="160"/>
      </w:pPr>
      <w:r>
        <w:t xml:space="preserve"/>
      </w:r>
    </w:p>
    <w:p>
      <w:pPr>
        <w:pStyle w:val="Heading3"/>
        <w:spacing w:after="80" w:before="180"/>
      </w:pPr>
      <w:r>
        <w:rPr>
          <w:rFonts w:ascii="Arial" w:cs="Arial" w:eastAsia="Arial" w:hAnsi="Arial"/>
          <w:b/>
          <w:bCs/>
          <w:color w:val="595959"/>
          <w:sz w:val="24"/>
          <w:szCs w:val="24"/>
        </w:rPr>
        <w:t xml:space="preserve">Quantitative Risk Scoring: RAM-AI</w:t>
      </w:r>
    </w:p>
    <w:p>
      <w:pPr>
        <w:spacing w:after="100" w:before="80"/>
        <w:jc w:val="both"/>
      </w:pPr>
      <w:r>
        <w:rPr>
          <w:rFonts w:ascii="Arial" w:cs="Arial" w:eastAsia="Arial" w:hAnsi="Arial"/>
          <w:sz w:val="22"/>
          <w:szCs w:val="22"/>
        </w:rPr>
        <w:t xml:space="preserve">RAM-AI is a composite risk scoring model for AI systems that adapts traditional IT risk frameworks to the stochastic nature of machine learning. Risk is scored as a function of model sensitivity, not just environmental threat levels.</w:t>
      </w:r>
    </w:p>
    <w:p>
      <w:pPr>
        <w:spacing w:after="40" w:before="40"/>
      </w:pPr>
      <w:r>
        <w:t xml:space="preserve"/>
      </w:r>
    </w:p>
    <w:p>
      <w:pPr>
        <w:spacing w:after="40" w:before="80"/>
        <w:ind w:left="720"/>
      </w:pPr>
      <w:r>
        <w:rPr>
          <w:rFonts w:ascii="Courier New" w:cs="Courier New" w:eastAsia="Courier New" w:hAnsi="Courier New"/>
          <w:b/>
          <w:bCs/>
          <w:color w:val="1F4E79"/>
          <w:sz w:val="24"/>
          <w:szCs w:val="24"/>
        </w:rPr>
        <w:t xml:space="preserve">  R_score  =  ( Aₙ × Tₗ × Mᵥ )  ×  ( w₁ + w₂ )</w:t>
      </w:r>
    </w:p>
    <w:p>
      <w:pPr>
        <w:spacing w:after="40" w:before="40"/>
      </w:pPr>
      <w:r>
        <w:t xml:space="preserve"/>
      </w:r>
    </w:p>
    <w:p>
      <w:pPr>
        <w:pStyle w:val="ListParagraph"/>
        <w:numPr>
          <w:ilvl w:val="0"/>
          <w:numId w:val="3"/>
        </w:numPr>
        <w:spacing w:after="60" w:before="60"/>
      </w:pPr>
      <w:r>
        <w:rPr>
          <w:rFonts w:ascii="Arial" w:cs="Arial" w:eastAsia="Arial" w:hAnsi="Arial"/>
          <w:sz w:val="22"/>
          <w:szCs w:val="22"/>
        </w:rPr>
        <w:t xml:space="preserve">Aₙ (Asset Criticality) — normalised 0.1–1.0; business impact of system failure</w:t>
      </w:r>
    </w:p>
    <w:p>
      <w:pPr>
        <w:pStyle w:val="ListParagraph"/>
        <w:numPr>
          <w:ilvl w:val="0"/>
          <w:numId w:val="3"/>
        </w:numPr>
        <w:spacing w:after="60" w:before="60"/>
      </w:pPr>
      <w:r>
        <w:rPr>
          <w:rFonts w:ascii="Arial" w:cs="Arial" w:eastAsia="Arial" w:hAnsi="Arial"/>
          <w:sz w:val="22"/>
          <w:szCs w:val="22"/>
        </w:rPr>
        <w:t xml:space="preserve">Tₗ (Threat Likelihood) — environment attackability (public API vs. air-gapped network)</w:t>
      </w:r>
    </w:p>
    <w:p>
      <w:pPr>
        <w:pStyle w:val="ListParagraph"/>
        <w:numPr>
          <w:ilvl w:val="0"/>
          <w:numId w:val="3"/>
        </w:numPr>
        <w:spacing w:after="60" w:before="60"/>
      </w:pPr>
      <w:r>
        <w:rPr>
          <w:rFonts w:ascii="Arial" w:cs="Arial" w:eastAsia="Arial" w:hAnsi="Arial"/>
          <w:sz w:val="22"/>
          <w:szCs w:val="22"/>
        </w:rPr>
        <w:t xml:space="preserve">Mᵥ (Model Vulnerability) — sensitivity to adversarial inputs, data poisoning, or distribution shift</w:t>
      </w:r>
    </w:p>
    <w:p>
      <w:pPr>
        <w:pStyle w:val="ListParagraph"/>
        <w:numPr>
          <w:ilvl w:val="0"/>
          <w:numId w:val="3"/>
        </w:numPr>
        <w:spacing w:after="60" w:before="60"/>
      </w:pPr>
      <w:r>
        <w:rPr>
          <w:rFonts w:ascii="Arial" w:cs="Arial" w:eastAsia="Arial" w:hAnsi="Arial"/>
          <w:sz w:val="22"/>
          <w:szCs w:val="22"/>
        </w:rPr>
        <w:t xml:space="preserve">w₁, w₂ (Weighting Factors) — allow prioritisation by industry context</w:t>
      </w:r>
    </w:p>
    <w:p>
      <w:pPr>
        <w:spacing w:after="60" w:before="80"/>
      </w:pPr>
      <w:r>
        <w:t xml:space="preserve"/>
      </w:r>
    </w:p>
    <w:p>
      <w:pPr>
        <w:spacing w:after="100" w:before="80"/>
        <w:jc w:val="both"/>
      </w:pPr>
      <w:r>
        <w:rPr>
          <w:rFonts w:ascii="Arial" w:cs="Arial" w:eastAsia="Arial" w:hAnsi="Arial"/>
          <w:sz w:val="22"/>
          <w:szCs w:val="22"/>
        </w:rPr>
        <w:t xml:space="preserve">A system scoring above 0.7 triggers mandatory adversarial testing (red teaming) before production approval.</w:t>
      </w:r>
    </w:p>
    <w:p>
      <w:pPr>
        <w:spacing w:after="0" w:before="160"/>
      </w:pPr>
      <w:r>
        <w:t xml:space="preserve"/>
      </w:r>
    </w:p>
    <w:p>
      <w:pPr>
        <w:spacing w:after="80" w:before="40"/>
        <w:ind w:left="360"/>
      </w:pPr>
      <w:r>
        <w:rPr>
          <w:rFonts w:ascii="Arial" w:cs="Arial" w:eastAsia="Arial" w:hAnsi="Arial"/>
          <w:color w:val="2E75B6"/>
          <w:sz w:val="19"/>
          <w:szCs w:val="19"/>
        </w:rPr>
        <w:t xml:space="preserve">→ SpanForge Way v4.9: System 03 — Phase 03 (Build): Six-Gate CI/CD Pipeline; System 04 — SpanForge Platform</w:t>
      </w:r>
    </w:p>
    <w:p>
      <w:pPr>
        <w:pStyle w:val="Heading2"/>
        <w:spacing w:after="100" w:before="280"/>
      </w:pPr>
      <w:r>
        <w:rPr>
          <w:rFonts w:ascii="Arial" w:cs="Arial" w:eastAsia="Arial" w:hAnsi="Arial"/>
          <w:b/>
          <w:bCs/>
          <w:color w:val="2E75B6"/>
          <w:sz w:val="27"/>
          <w:szCs w:val="27"/>
        </w:rPr>
        <w:t xml:space="preserve">4.5  Traceability</w:t>
      </w:r>
    </w:p>
    <w:p>
      <w:pPr>
        <w:spacing w:after="100" w:before="80"/>
        <w:jc w:val="both"/>
      </w:pPr>
      <w:r>
        <w:rPr>
          <w:rFonts w:ascii="Arial" w:cs="Arial" w:eastAsia="Arial" w:hAnsi="Arial"/>
          <w:sz w:val="22"/>
          <w:szCs w:val="22"/>
        </w:rPr>
        <w:t xml:space="preserve">Traceability provides end-to-end documentation for the lineage, evolution, and decision history of every AI system. It converts AI from a black box — where outputs appear without explanation — into an auditable record where every decision traces to its source data, model version, and configuration state at the time it was made. In financial services, pharmaceuticals, and healthcare, this is a legal requirement — enforced by the FCA, FDA, and EMA.</w:t>
      </w:r>
    </w:p>
    <w:p>
      <w:pPr>
        <w:pStyle w:val="Heading3"/>
        <w:spacing w:after="80" w:before="180"/>
      </w:pPr>
      <w:r>
        <w:rPr>
          <w:rFonts w:ascii="Arial" w:cs="Arial" w:eastAsia="Arial" w:hAnsi="Arial"/>
          <w:b/>
          <w:bCs/>
          <w:color w:val="595959"/>
          <w:sz w:val="24"/>
          <w:szCs w:val="24"/>
        </w:rPr>
        <w:t xml:space="preserve">Data Lineage vs. Data Provenance</w:t>
      </w:r>
    </w:p>
    <w:p>
      <w:pPr>
        <w:pStyle w:val="ListParagraph"/>
        <w:numPr>
          <w:ilvl w:val="0"/>
          <w:numId w:val="3"/>
        </w:numPr>
        <w:spacing w:after="60" w:before="60"/>
      </w:pPr>
      <w:r>
        <w:rPr>
          <w:rFonts w:ascii="Arial" w:cs="Arial" w:eastAsia="Arial" w:hAnsi="Arial"/>
          <w:sz w:val="22"/>
          <w:szCs w:val="22"/>
        </w:rPr>
        <w:t xml:space="preserve">Data lineage — tracks how data moves from source systems through ingestion, transformation, feature engineering, and training into model outputs. Answers: what happened to the data?</w:t>
      </w:r>
    </w:p>
    <w:p>
      <w:pPr>
        <w:pStyle w:val="ListParagraph"/>
        <w:numPr>
          <w:ilvl w:val="0"/>
          <w:numId w:val="3"/>
        </w:numPr>
        <w:spacing w:after="60" w:before="60"/>
      </w:pPr>
      <w:r>
        <w:rPr>
          <w:rFonts w:ascii="Arial" w:cs="Arial" w:eastAsia="Arial" w:hAnsi="Arial"/>
          <w:sz w:val="22"/>
          <w:szCs w:val="22"/>
        </w:rPr>
        <w:t xml:space="preserve">Data provenance — captures the historical record of origin: where data came from, who collected it, under what consent conditions. Answers: where did the data come from, and can it be trusted?</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Traceability Element</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Documentation Requirement</w:t>
            </w:r>
          </w:p>
        </w:tc>
        <w:tc>
          <w:tcPr>
            <w:tcW w:type="dxa" w:w="3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Stakeholder Utility</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Technical Lineage</w:t>
            </w:r>
          </w:p>
        </w:tc>
        <w:tc>
          <w:tcPr>
            <w:tcW w:type="dxa" w:w="3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Map all technical connections and transformations from raw source to model output</w:t>
            </w:r>
          </w:p>
        </w:tc>
        <w:tc>
          <w:tcPr>
            <w:tcW w:type="dxa" w:w="3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Engineering teams diagnosing pipeline failures and model regressions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Business Metadata</w:t>
            </w:r>
          </w:p>
        </w:tc>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Document what data means in business terms; ownership; retention schedule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Compliance teams validating data usage rights and consent basis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Cell-Level Lineage</w:t>
            </w:r>
          </w:p>
        </w:tc>
        <w:tc>
          <w:tcPr>
            <w:tcW w:type="dxa" w:w="3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Track how each specific output value is derived from specific inputs</w:t>
            </w:r>
          </w:p>
        </w:tc>
        <w:tc>
          <w:tcPr>
            <w:tcW w:type="dxa" w:w="3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Regulators auditing individual automated decisions under EU AI Act transparency obligations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Model Logging</w:t>
            </w:r>
          </w:p>
        </w:tc>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Record every decision, parameter change, update, approval, and decommission event</w:t>
            </w:r>
          </w:p>
        </w:tc>
        <w:tc>
          <w:tcPr>
            <w:tcW w:type="dxa" w:w="3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Internal governance boards; external auditors; post-incident review panels</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Technical Enforcement of Traceability</w:t>
            </w:r>
          </w:p>
          <w:p>
            <w:pPr>
              <w:spacing w:after="40" w:before="0"/>
            </w:pPr>
            <w:r>
              <w:rPr>
                <w:rFonts w:ascii="Arial" w:cs="Arial" w:eastAsia="Arial" w:hAnsi="Arial"/>
                <w:sz w:val="20"/>
                <w:szCs w:val="20"/>
              </w:rPr>
              <w:t xml:space="preserve">Every decision, alert, playbook execution, and human review must be logged with an immutable, timestamped, cryptographically signed record. The audit chain must be verifiable and export-ready for regulators, auditors, and post-incident reviews.</w:t>
            </w:r>
          </w:p>
          <w:p>
            <w:pPr>
              <w:spacing w:after="40" w:before="0"/>
            </w:pPr>
            <w:r>
              <w:rPr>
                <w:rFonts w:ascii="Arial" w:cs="Arial" w:eastAsia="Arial" w:hAnsi="Arial"/>
                <w:sz w:val="20"/>
                <w:szCs w:val="20"/>
              </w:rPr>
              <w:t xml:space="preserve">T.R.U.S.T. requires that the production observability system baselines agent behaviour at first deployment and monitors every subsequent run against that baseline — making it possible to identify exactly when and how a system's behaviour changed, and under what data conditions.</w:t>
            </w:r>
          </w:p>
          <w:p>
            <w:pPr>
              <w:spacing w:after="40" w:before="0"/>
            </w:pPr>
            <w:r>
              <w:rPr>
                <w:rFonts w:ascii="Arial" w:cs="Arial" w:eastAsia="Arial" w:hAnsi="Arial"/>
                <w:sz w:val="20"/>
                <w:szCs w:val="20"/>
              </w:rPr>
              <w:t xml:space="preserve">SpanForge's production observability and governance platform is the implementation of this T.R.U.S.T. requirement. Contact SpanForge for current deployment availability.</w:t>
            </w:r>
          </w:p>
        </w:tc>
      </w:tr>
    </w:tbl>
    <w:p>
      <w:pPr>
        <w:spacing w:after="0" w:before="160"/>
      </w:pPr>
      <w:r>
        <w:t xml:space="preserve"/>
      </w:r>
    </w:p>
    <w:p>
      <w:pPr>
        <w:spacing w:after="80" w:before="40"/>
        <w:ind w:left="360"/>
      </w:pPr>
      <w:r>
        <w:rPr>
          <w:rFonts w:ascii="Arial" w:cs="Arial" w:eastAsia="Arial" w:hAnsi="Arial"/>
          <w:color w:val="2E75B6"/>
          <w:sz w:val="19"/>
          <w:szCs w:val="19"/>
        </w:rPr>
        <w:t xml:space="preserve">→ SpanForge Way v4.9: System 04 — SpanForge Platform: Immutable Audit Trail; System 03 — Phase 05 (Scale)</w:t>
      </w:r>
    </w:p>
    <w:p>
      <w:pPr>
        <w:pStyle w:val="Heading1"/>
        <w:pBdr>
          <w:bottom w:val="single" w:color="2E75B6" w:sz="8" w:space="4"/>
        </w:pBdr>
        <w:spacing w:after="120" w:before="400"/>
      </w:pPr>
      <w:r>
        <w:rPr>
          <w:rFonts w:ascii="Arial" w:cs="Arial" w:eastAsia="Arial" w:hAnsi="Arial"/>
          <w:b/>
          <w:bCs/>
          <w:color w:val="1F4E79"/>
          <w:sz w:val="34"/>
          <w:szCs w:val="34"/>
        </w:rPr>
        <w:t xml:space="preserve">5.  Enterprise Operationalisation</w:t>
      </w:r>
    </w:p>
    <w:p>
      <w:pPr>
        <w:spacing w:after="100" w:before="80"/>
        <w:jc w:val="both"/>
      </w:pPr>
      <w:r>
        <w:rPr>
          <w:rFonts w:ascii="Arial" w:cs="Arial" w:eastAsia="Arial" w:hAnsi="Arial"/>
          <w:sz w:val="22"/>
          <w:szCs w:val="22"/>
        </w:rPr>
        <w:t xml:space="preserve">T.R.U.S.T. is operationalised across three platform phases: Design, Govern, and Scale. Governance intent only becomes real when it is enforced at the platform level — not maintained through emails, spreadsheets, or manual checklists.</w:t>
      </w:r>
    </w:p>
    <w:p>
      <w:pPr>
        <w:spacing w:after="0" w:before="80"/>
      </w:pPr>
      <w:r>
        <w:t xml:space="preserve"/>
      </w:r>
    </w:p>
    <w:p>
      <w:pPr>
        <w:spacing w:after="80" w:before="40"/>
        <w:ind w:left="360"/>
      </w:pPr>
      <w:r>
        <w:rPr>
          <w:rFonts w:ascii="Arial" w:cs="Arial" w:eastAsia="Arial" w:hAnsi="Arial"/>
          <w:color w:val="2E75B6"/>
          <w:sz w:val="19"/>
          <w:szCs w:val="19"/>
        </w:rPr>
        <w:t xml:space="preserve">→ SpanForge Way v4.9: System 03 — Five-Phase Lifecycle: Design, Govern, and Scale phases</w:t>
      </w:r>
    </w:p>
    <w:p>
      <w:pPr>
        <w:pStyle w:val="Heading2"/>
        <w:spacing w:after="100" w:before="280"/>
      </w:pPr>
      <w:r>
        <w:rPr>
          <w:rFonts w:ascii="Arial" w:cs="Arial" w:eastAsia="Arial" w:hAnsi="Arial"/>
          <w:b/>
          <w:bCs/>
          <w:color w:val="2E75B6"/>
          <w:sz w:val="27"/>
          <w:szCs w:val="27"/>
        </w:rPr>
        <w:t xml:space="preserve">5.1  Design Phase — Cost Accountability</w:t>
      </w:r>
    </w:p>
    <w:p>
      <w:pPr>
        <w:spacing w:after="100" w:before="80"/>
        <w:jc w:val="both"/>
      </w:pPr>
      <w:r>
        <w:rPr>
          <w:rFonts w:ascii="Arial" w:cs="Arial" w:eastAsia="Arial" w:hAnsi="Arial"/>
          <w:sz w:val="22"/>
          <w:szCs w:val="22"/>
        </w:rPr>
        <w:t xml:space="preserve">The Design phase is where cost accountability is embedded into T.R.U.S.T. governance. The Responsibility dimension extends to cost: architecture decisions must be made with full visibility of their financial implications, before any resource is committed.</w:t>
      </w:r>
    </w:p>
    <w:p>
      <w:pPr>
        <w:spacing w:after="100" w:before="80"/>
        <w:jc w:val="both"/>
      </w:pPr>
      <w:r>
        <w:rPr>
          <w:rFonts w:ascii="Arial" w:cs="Arial" w:eastAsia="Arial" w:hAnsi="Arial"/>
          <w:sz w:val="22"/>
          <w:szCs w:val="22"/>
        </w:rPr>
        <w:t xml:space="preserve">The T.R.U.S.T. Design phase requirement: every architecture decision must be accompanied by a pre-commitment cost estimate — a baseline projection, scenario comparisons (cheapest, balanced, performance), and a ranked list of optimisation actions. This evidence is submitted as part of the Design Exit Gate package. The Design Exit Gate does not clear without a completed cost brief.</w:t>
      </w:r>
    </w:p>
    <w:p>
      <w:pPr>
        <w:spacing w:after="100" w:before="80"/>
        <w:jc w:val="both"/>
      </w:pPr>
      <w:r>
        <w:rPr>
          <w:rFonts w:ascii="Arial" w:cs="Arial" w:eastAsia="Arial" w:hAnsi="Arial"/>
          <w:sz w:val="22"/>
          <w:szCs w:val="22"/>
        </w:rPr>
        <w:t xml:space="preserve">SpanForge's cost intelligence product (CostGuard) is the reference implementation of this requirement, currently live for AWS infrastructure cost estimation. Contact sriram@getspanforge.com for current availability.</w:t>
      </w:r>
    </w:p>
    <w:p>
      <w:pPr>
        <w:spacing w:after="0" w:before="80"/>
      </w:pPr>
      <w:r>
        <w:t xml:space="preserve"/>
      </w:r>
    </w:p>
    <w:p>
      <w:pPr>
        <w:spacing w:after="80" w:before="40"/>
        <w:ind w:left="360"/>
      </w:pPr>
      <w:r>
        <w:rPr>
          <w:rFonts w:ascii="Arial" w:cs="Arial" w:eastAsia="Arial" w:hAnsi="Arial"/>
          <w:color w:val="2E75B6"/>
          <w:sz w:val="19"/>
          <w:szCs w:val="19"/>
        </w:rPr>
        <w:t xml:space="preserve">→ SpanForge Way v4.9: System 03 — Phase 02 (Design): cost intelligence; System 05 — Cost Model and cost intelligence integration</w:t>
      </w:r>
    </w:p>
    <w:p>
      <w:pPr>
        <w:pStyle w:val="Heading2"/>
        <w:spacing w:after="100" w:before="280"/>
      </w:pPr>
      <w:r>
        <w:rPr>
          <w:rFonts w:ascii="Arial" w:cs="Arial" w:eastAsia="Arial" w:hAnsi="Arial"/>
          <w:b/>
          <w:bCs/>
          <w:color w:val="2E75B6"/>
          <w:sz w:val="27"/>
          <w:szCs w:val="27"/>
        </w:rPr>
        <w:t xml:space="preserve">5.2  Govern Phase — Compliance Mapping and Documentation</w:t>
      </w:r>
    </w:p>
    <w:p>
      <w:pPr>
        <w:spacing w:after="100" w:before="80"/>
        <w:jc w:val="both"/>
      </w:pPr>
      <w:r>
        <w:rPr>
          <w:rFonts w:ascii="Arial" w:cs="Arial" w:eastAsia="Arial" w:hAnsi="Arial"/>
          <w:sz w:val="22"/>
          <w:szCs w:val="22"/>
        </w:rPr>
        <w:t xml:space="preserve">The Govern phase converts T.R.U.S.T. governance intent into compliance documentation and audit-ready evidence. Nothing reaches production without completing the Govern phase.</w:t>
      </w:r>
    </w:p>
    <w:p>
      <w:pPr>
        <w:pStyle w:val="ListParagraph"/>
        <w:numPr>
          <w:ilvl w:val="0"/>
          <w:numId w:val="3"/>
        </w:numPr>
        <w:spacing w:after="60" w:before="60"/>
      </w:pPr>
      <w:r>
        <w:rPr>
          <w:rFonts w:ascii="Arial" w:cs="Arial" w:eastAsia="Arial" w:hAnsi="Arial"/>
          <w:sz w:val="22"/>
          <w:szCs w:val="22"/>
        </w:rPr>
        <w:t xml:space="preserve">EU AI Act risk categorisation — mapping each system to prohibited, high-risk, limited-risk, or minimal-risk classification tiers. Under the EU AI Act (in force from August 2026), high-risk systems — those affecting safety, employment, credit, education, or public services — require conformity assessments, technical documentation, and mandatory human oversight before deployment</w:t>
      </w:r>
    </w:p>
    <w:p>
      <w:pPr>
        <w:pStyle w:val="ListParagraph"/>
        <w:numPr>
          <w:ilvl w:val="0"/>
          <w:numId w:val="3"/>
        </w:numPr>
        <w:spacing w:after="60" w:before="60"/>
      </w:pPr>
      <w:r>
        <w:rPr>
          <w:rFonts w:ascii="Arial" w:cs="Arial" w:eastAsia="Arial" w:hAnsi="Arial"/>
          <w:sz w:val="22"/>
          <w:szCs w:val="22"/>
        </w:rPr>
        <w:t xml:space="preserve">Live risk register — maintained and reviewed at every gate; not a static document</w:t>
      </w:r>
    </w:p>
    <w:p>
      <w:pPr>
        <w:pStyle w:val="ListParagraph"/>
        <w:numPr>
          <w:ilvl w:val="0"/>
          <w:numId w:val="3"/>
        </w:numPr>
        <w:spacing w:after="60" w:before="60"/>
      </w:pPr>
      <w:r>
        <w:rPr>
          <w:rFonts w:ascii="Arial" w:cs="Arial" w:eastAsia="Arial" w:hAnsi="Arial"/>
          <w:sz w:val="22"/>
          <w:szCs w:val="22"/>
        </w:rPr>
        <w:t xml:space="preserve">Governance maturity assessment — baseline and target state across all five T.R.U.S.T. dimensions</w:t>
      </w:r>
    </w:p>
    <w:p>
      <w:pPr>
        <w:pStyle w:val="ListParagraph"/>
        <w:numPr>
          <w:ilvl w:val="0"/>
          <w:numId w:val="3"/>
        </w:numPr>
        <w:spacing w:after="60" w:before="60"/>
      </w:pPr>
      <w:r>
        <w:rPr>
          <w:rFonts w:ascii="Arial" w:cs="Arial" w:eastAsia="Arial" w:hAnsi="Arial"/>
          <w:sz w:val="22"/>
          <w:szCs w:val="22"/>
        </w:rPr>
        <w:t xml:space="preserve">Board-level reporting packs — structured for non-technical executive audiences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Govern Phase Exit Gate</w:t>
            </w:r>
          </w:p>
          <w:p>
            <w:pPr>
              <w:spacing w:after="40" w:before="0"/>
            </w:pPr>
            <w:r>
              <w:rPr>
                <w:rFonts w:ascii="Arial" w:cs="Arial" w:eastAsia="Arial" w:hAnsi="Arial"/>
                <w:sz w:val="20"/>
                <w:szCs w:val="20"/>
              </w:rPr>
              <w:t xml:space="preserve">Nothing goes to production without: T.R.U.S.T. Framework fully mapped across all five dimensions, compliance documentation complete for applicable regulatory frameworks, and an incident playbook assigned with a named owner.</w:t>
            </w:r>
          </w:p>
        </w:tc>
      </w:tr>
    </w:tbl>
    <w:p>
      <w:pPr>
        <w:spacing w:after="0" w:before="160"/>
      </w:pPr>
      <w:r>
        <w:t xml:space="preserve"/>
      </w:r>
    </w:p>
    <w:p>
      <w:pPr>
        <w:pStyle w:val="Heading2"/>
        <w:spacing w:after="100" w:before="280"/>
      </w:pPr>
      <w:r>
        <w:rPr>
          <w:rFonts w:ascii="Arial" w:cs="Arial" w:eastAsia="Arial" w:hAnsi="Arial"/>
          <w:b/>
          <w:bCs/>
          <w:color w:val="2E75B6"/>
          <w:sz w:val="27"/>
          <w:szCs w:val="27"/>
        </w:rPr>
        <w:t xml:space="preserve">5.3  Scale Phase — Platform-Inherent Technical Controls</w:t>
      </w:r>
    </w:p>
    <w:p>
      <w:pPr>
        <w:spacing w:after="100" w:before="80"/>
        <w:jc w:val="both"/>
      </w:pPr>
      <w:r>
        <w:rPr>
          <w:rFonts w:ascii="Arial" w:cs="Arial" w:eastAsia="Arial" w:hAnsi="Arial"/>
          <w:sz w:val="22"/>
          <w:szCs w:val="22"/>
        </w:rPr>
        <w:t xml:space="preserve">Governance only works when it is enforced inherently by the platform. SpanForge's Scale phase enforces governance through its production observability system, which must be active before the first production request is served.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Technical Control</w:t>
            </w:r>
          </w:p>
        </w:tc>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T.R.U.S.T. Dimension</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Mechanism</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Behavioural Baselining</w:t>
            </w:r>
          </w:p>
        </w:tc>
        <w:tc>
          <w:tcPr>
            <w:tcW w:type="dxa" w:w="2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Traceability + Safety</w:t>
            </w:r>
          </w:p>
        </w:tc>
        <w:tc>
          <w:tcPr>
            <w:tcW w:type="dxa" w:w="4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Baselines output distributions, confidence patterns, tool invocation sequences at first deployment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Drift Detection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Safety + Transparency</w:t>
            </w:r>
          </w:p>
        </w:tc>
        <w:tc>
          <w:tcPr>
            <w:tcW w:type="dxa" w:w="4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Statistical drift metrics; configurable thresholds; alerts trigger before user-visible degradation</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Consent Boundary Enforcement</w:t>
            </w:r>
          </w:p>
        </w:tc>
        <w:tc>
          <w:tcPr>
            <w:tcW w:type="dxa" w:w="2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User Rights</w:t>
            </w:r>
          </w:p>
        </w:tc>
        <w:tc>
          <w:tcPr>
            <w:tcW w:type="dxa" w:w="4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Monitors every decision for boundary violations; automated escalation with audit record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Role-Based Access Control (RBAC)</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Responsibility</w:t>
            </w:r>
          </w:p>
        </w:tc>
        <w:tc>
          <w:tcPr>
            <w:tcW w:type="dxa" w:w="4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Limits system access; ensures agents operate under defined, auditable identities</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Data Loss Prevention (DLP)</w:t>
            </w:r>
          </w:p>
        </w:tc>
        <w:tc>
          <w:tcPr>
            <w:tcW w:type="dxa" w:w="2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User Rights + Safety</w:t>
            </w:r>
          </w:p>
        </w:tc>
        <w:tc>
          <w:tcPr>
            <w:tcW w:type="dxa" w:w="4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Prevents sensitive data from entering public AI platforms or crossing consent boundaries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Human-in-the-Loop Hooks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Responsibility + User Rights</w:t>
            </w:r>
          </w:p>
        </w:tc>
        <w:tc>
          <w:tcPr>
            <w:tcW w:type="dxa" w:w="4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Low-confidence decisions queued for human approval before reaching users or downstream systems</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Immutable Audit Logs</w:t>
            </w:r>
          </w:p>
        </w:tc>
        <w:tc>
          <w:tcPr>
            <w:tcW w:type="dxa" w:w="2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Traceability</w:t>
            </w:r>
          </w:p>
        </w:tc>
        <w:tc>
          <w:tcPr>
            <w:tcW w:type="dxa" w:w="4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Cryptographically signed, timestamped records of every decision, alert, and human review; export-ready for regulators</w:t>
            </w:r>
          </w:p>
        </w:tc>
      </w:tr>
    </w:tbl>
    <w:p>
      <w:pPr>
        <w:spacing w:after="0" w:before="160"/>
      </w:pPr>
      <w:r>
        <w:t xml:space="preserve"/>
      </w:r>
    </w:p>
    <w:p>
      <w:pPr>
        <w:pStyle w:val="Heading2"/>
        <w:spacing w:after="100" w:before="280"/>
      </w:pPr>
      <w:r>
        <w:rPr>
          <w:rFonts w:ascii="Arial" w:cs="Arial" w:eastAsia="Arial" w:hAnsi="Arial"/>
          <w:b/>
          <w:bCs/>
          <w:color w:val="2E75B6"/>
          <w:sz w:val="27"/>
          <w:szCs w:val="27"/>
        </w:rPr>
        <w:t xml:space="preserve">5.4  Risk Tiering</w:t>
      </w:r>
    </w:p>
    <w:p>
      <w:pPr>
        <w:spacing w:after="100" w:before="80"/>
        <w:jc w:val="both"/>
      </w:pPr>
      <w:r>
        <w:rPr>
          <w:rFonts w:ascii="Arial" w:cs="Arial" w:eastAsia="Arial" w:hAnsi="Arial"/>
          <w:sz w:val="22"/>
          <w:szCs w:val="22"/>
        </w:rPr>
        <w:t xml:space="preserve">Risk is not binary. T.R.U.S.T. governance requirements scale with the risk tier of each AI use case — enabling innovation at lower tiers while applying the most rigorous controls where the stakes are highest.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700"/>
        <w:gridCol w:w="256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Risk Tier</w:t>
            </w:r>
          </w:p>
        </w:tc>
        <w:tc>
          <w:tcPr>
            <w:tcW w:type="dxa" w:w="25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Characteristics</w:t>
            </w:r>
          </w:p>
        </w:tc>
        <w:tc>
          <w:tcPr>
            <w:tcW w:type="dxa" w:w="27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Governance Requirements</w:t>
            </w:r>
          </w:p>
        </w:tc>
        <w:tc>
          <w:tcPr>
            <w:tcW w:type="dxa" w:w="2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EU AI Act Alignment</w:t>
            </w:r>
          </w:p>
        </w:tc>
      </w:tr>
      <w:tr>
        <w:tc>
          <w:tcPr>
            <w:tcW w:type="dxa" w:w="1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Low</w:t>
            </w:r>
          </w:p>
        </w:tc>
        <w:tc>
          <w:tcPr>
            <w:tcW w:type="dxa" w:w="25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Self-serve automation; limited blast radius; no regulated data; no customer-facing decisions</w:t>
            </w:r>
          </w:p>
        </w:tc>
        <w:tc>
          <w:tcPr>
            <w:tcW w:type="dxa" w:w="27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Tight guardrails; limited data access; standard logging</w:t>
            </w:r>
          </w:p>
        </w:tc>
        <w:tc>
          <w:tcPr>
            <w:tcW w:type="dxa" w:w="25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Minimal-risk: no mandatory obligations beyond basic transparency</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Medium</w:t>
            </w:r>
          </w:p>
        </w:tc>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Broader agent deployment; sensitive internal data; cross-functional impact</w:t>
            </w:r>
          </w:p>
        </w:tc>
        <w:tc>
          <w:tcPr>
            <w:tcW w:type="dxa" w:w="27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Automatic review triggers; oversight without halting momentum; RBAC enforced</w:t>
            </w:r>
          </w:p>
        </w:tc>
        <w:tc>
          <w:tcPr>
            <w:tcW w:type="dxa" w:w="2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Limited-risk: transparency obligations apply; human review pathways required</w:t>
            </w:r>
          </w:p>
        </w:tc>
      </w:tr>
      <w:tr>
        <w:tc>
          <w:tcPr>
            <w:tcW w:type="dxa" w:w="1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High</w:t>
            </w:r>
          </w:p>
        </w:tc>
        <w:tc>
          <w:tcPr>
            <w:tcW w:type="dxa" w:w="25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Material impact on safety, health, financial decisions, or fundamental rights</w:t>
            </w:r>
          </w:p>
        </w:tc>
        <w:tc>
          <w:tcPr>
            <w:tcW w:type="dxa" w:w="27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Full T.R.U.S.T. compliance; adversarial testing mandatory; gate authority with legal sign-off</w:t>
            </w:r>
          </w:p>
        </w:tc>
        <w:tc>
          <w:tcPr>
            <w:tcW w:type="dxa" w:w="25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High-risk: full documentation, testing, transparency, and human oversight obligations enforced</w:t>
            </w:r>
          </w:p>
        </w:tc>
      </w:tr>
    </w:tbl>
    <w:p>
      <w:pPr>
        <w:spacing w:after="0" w:before="200"/>
      </w:pPr>
      <w:r>
        <w:t xml:space="preserve"/>
      </w:r>
    </w:p>
    <w:p>
      <w:pPr>
        <w:pStyle w:val="Heading1"/>
        <w:pBdr>
          <w:bottom w:val="single" w:color="2E75B6" w:sz="8" w:space="4"/>
        </w:pBdr>
        <w:spacing w:after="120" w:before="400"/>
      </w:pPr>
      <w:r>
        <w:rPr>
          <w:rFonts w:ascii="Arial" w:cs="Arial" w:eastAsia="Arial" w:hAnsi="Arial"/>
          <w:b/>
          <w:bCs/>
          <w:color w:val="1F4E79"/>
          <w:sz w:val="34"/>
          <w:szCs w:val="34"/>
        </w:rPr>
        <w:t xml:space="preserve">6.  Governance Gap Analysis</w:t>
      </w:r>
    </w:p>
    <w:p>
      <w:pPr>
        <w:spacing w:after="100" w:before="80"/>
        <w:jc w:val="both"/>
      </w:pPr>
      <w:r>
        <w:rPr>
          <w:rFonts w:ascii="Arial" w:cs="Arial" w:eastAsia="Arial" w:hAnsi="Arial"/>
          <w:sz w:val="22"/>
          <w:szCs w:val="22"/>
        </w:rPr>
        <w:t xml:space="preserve">The following table maps six specific governance gaps in the enterprise AI landscape to the T.R.U.S.T. dimension that closes each one. This is the direct answer to the question: what does T.R.U.S.T. provide that existing frameworks do not?</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1900"/>
        <w:gridCol w:w="24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Governance Gap</w:t>
            </w:r>
          </w:p>
        </w:tc>
        <w:tc>
          <w:tcPr>
            <w:tcW w:type="dxa" w:w="27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Why Existing Frameworks Leave It Open</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T.R.U.S.T. Dimension</w:t>
            </w:r>
          </w:p>
        </w:tc>
        <w:tc>
          <w:tcPr>
            <w:tcW w:type="dxa" w:w="24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Mechanism</w:t>
            </w:r>
          </w:p>
        </w:tc>
      </w:tr>
      <w:tr>
        <w:tc>
          <w:tcPr>
            <w:tcW w:type="dxa" w:w="23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technical enforcement of audit trail</w:t>
            </w:r>
          </w:p>
        </w:tc>
        <w:tc>
          <w:tcPr>
            <w:tcW w:type="dxa" w:w="27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NIST RMF and ISO 42001 require traceability but provide no tooling to produce it</w:t>
            </w:r>
          </w:p>
        </w:tc>
        <w:tc>
          <w:tcPr>
            <w:tcW w:type="dxa" w:w="19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Traceability</w:t>
            </w:r>
          </w:p>
        </w:tc>
        <w:tc>
          <w:tcPr>
            <w:tcW w:type="dxa" w:w="24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Cryptographically signed immutable logs; verifiable audit chain integrated into CI</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Named accountability absent at deployment</w:t>
            </w:r>
          </w:p>
        </w:tc>
        <w:tc>
          <w:tcPr>
            <w:tcW w:type="dxa" w:w="27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EU AI Act requires human oversight but does not define how ownership is assigned or enforced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Responsibility</w:t>
            </w:r>
          </w:p>
        </w:tc>
        <w:tc>
          <w:tcPr>
            <w:tcW w:type="dxa" w:w="24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Gate authority requirement; named owner in model registry before production sign-off</w:t>
            </w:r>
          </w:p>
        </w:tc>
      </w:tr>
      <w:tr>
        <w:tc>
          <w:tcPr>
            <w:tcW w:type="dxa" w:w="23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Policy-level consent not enforced in code</w:t>
            </w:r>
          </w:p>
        </w:tc>
        <w:tc>
          <w:tcPr>
            <w:tcW w:type="dxa" w:w="27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GDPR requires consent; no standard defines how consent is technically enforced at the agent level</w:t>
            </w:r>
          </w:p>
        </w:tc>
        <w:tc>
          <w:tcPr>
            <w:tcW w:type="dxa" w:w="19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User Rights</w:t>
            </w:r>
          </w:p>
        </w:tc>
        <w:tc>
          <w:tcPr>
            <w:tcW w:type="dxa" w:w="24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Consent boundary enforcement with automated escalation on violation</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standardised safety pipeline for AI artefacts</w:t>
            </w:r>
          </w:p>
        </w:tc>
        <w:tc>
          <w:tcPr>
            <w:tcW w:type="dxa" w:w="27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NIST RMF Measure function is voluntary and non-specific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Safety Guardrails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Six-gate mandatory CI/CD pipeline; adversarial testing; hallucination scoring</w:t>
            </w:r>
          </w:p>
        </w:tc>
      </w:tr>
      <w:tr>
        <w:tc>
          <w:tcPr>
            <w:tcW w:type="dxa" w:w="23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Explainability stated but not delivered</w:t>
            </w:r>
          </w:p>
        </w:tc>
        <w:tc>
          <w:tcPr>
            <w:tcW w:type="dxa" w:w="27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EU AI Act and GDPR create explanation obligations; no standard specifies what constitutes a sufficient explanation</w:t>
            </w:r>
          </w:p>
        </w:tc>
        <w:tc>
          <w:tcPr>
            <w:tcW w:type="dxa" w:w="19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Transparency</w:t>
            </w:r>
          </w:p>
        </w:tc>
        <w:tc>
          <w:tcPr>
            <w:tcW w:type="dxa" w:w="24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Decision driver visualisation; model documentation required at Govern phase</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Governance fails after deployment</w:t>
            </w:r>
          </w:p>
        </w:tc>
        <w:tc>
          <w:tcPr>
            <w:tcW w:type="dxa" w:w="27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All frameworks focus on pre-deployment; none specify production monitoring standards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All five dimensions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Production observability; drift detection; real-time automated response playbooks</w:t>
            </w:r>
          </w:p>
        </w:tc>
      </w:tr>
    </w:tbl>
    <w:p>
      <w:pPr>
        <w:spacing w:after="0" w:before="200"/>
      </w:pPr>
      <w:r>
        <w:t xml:space="preserve"/>
      </w:r>
    </w:p>
    <w:p>
      <w:pPr>
        <w:pStyle w:val="Heading1"/>
        <w:pBdr>
          <w:bottom w:val="single" w:color="2E75B6" w:sz="8" w:space="4"/>
        </w:pBdr>
        <w:spacing w:after="120" w:before="400"/>
      </w:pPr>
      <w:r>
        <w:rPr>
          <w:rFonts w:ascii="Arial" w:cs="Arial" w:eastAsia="Arial" w:hAnsi="Arial"/>
          <w:b/>
          <w:bCs/>
          <w:color w:val="1F4E79"/>
          <w:sz w:val="34"/>
          <w:szCs w:val="34"/>
        </w:rPr>
        <w:t xml:space="preserve">7.  What Happens Without T.R.U.S.T.</w:t>
      </w:r>
    </w:p>
    <w:p>
      <w:pPr>
        <w:spacing w:after="100" w:before="80"/>
        <w:jc w:val="both"/>
      </w:pPr>
      <w:r>
        <w:rPr>
          <w:rFonts w:ascii="Arial" w:cs="Arial" w:eastAsia="Arial" w:hAnsi="Arial"/>
          <w:sz w:val="22"/>
          <w:szCs w:val="22"/>
        </w:rPr>
        <w:t xml:space="preserve">The absence of each T.R.U.S.T. dimension produces a predictable failure consequence. These are not theoretical risks — they are documented failure modes in live enterprise AI deployments. Each dimension compounds the others: partial adoption produces partial protection, not proportional protection.</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Missing Dimension</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Immediate Consequence</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Downstream Cost</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Transparency</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AI decisions cannot be explained to users, regulators, or auditors</w:t>
            </w:r>
          </w:p>
        </w:tc>
        <w:tc>
          <w:tcPr>
            <w:tcW w:type="dxa" w:w="4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Regulatory challenge; patient harm from unexplained clinical AI; hiring discrimination claims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Responsibility</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When an AI system causes harm, no defined owner exists to remediate it</w:t>
            </w:r>
          </w:p>
        </w:tc>
        <w:tc>
          <w:tcPr>
            <w:tcW w:type="dxa" w:w="4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Regulator assigns liability to the organisation; remediation is slow, costly, and poorly targeted. Architecture cost overruns discovered after commitment — not prevented at design time.</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User Rights enforcement</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Personal data processed without consent; no recourse path for individuals</w:t>
            </w:r>
          </w:p>
        </w:tc>
        <w:tc>
          <w:tcPr>
            <w:tcW w:type="dxa" w:w="4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GDPR enforcement action; class actions; public trust loss in AI-driven products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Safety Guardrails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Adversarial inputs, model drift, and hallucinations reach production undetected</w:t>
            </w:r>
          </w:p>
        </w:tc>
        <w:tc>
          <w:tcPr>
            <w:tcW w:type="dxa" w:w="4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Financial loss from mispriced decisions; reputational damage; potential physical harm in critical systems</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Traceability</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Incidents cannot be investigated; bias cannot be proven or disproven; IP is unprotectable</w:t>
            </w:r>
          </w:p>
        </w:tc>
        <w:tc>
          <w:tcPr>
            <w:tcW w:type="dxa" w:w="4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Regulatory audit failure; inability to remediate at scale; loss of AI asset value under IAS 38</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The Compounding Effect</w:t>
            </w:r>
          </w:p>
          <w:p>
            <w:pPr>
              <w:spacing w:after="40" w:before="0"/>
            </w:pPr>
            <w:r>
              <w:rPr>
                <w:rFonts w:ascii="Arial" w:cs="Arial" w:eastAsia="Arial" w:hAnsi="Arial"/>
                <w:sz w:val="20"/>
                <w:szCs w:val="20"/>
              </w:rPr>
              <w:t xml:space="preserve">Each missing dimension compounds the others. A system with no Traceability cannot prove its User Rights controls are working. A system with no Responsibility has no owner to act on Safety alerts. The framework functions as a system — partial adoption produces partial protection, not proportional protection.</w:t>
            </w:r>
          </w:p>
        </w:tc>
      </w:tr>
    </w:tbl>
    <w:p>
      <w:pPr>
        <w:spacing w:after="0" w:before="200"/>
      </w:pPr>
      <w:r>
        <w:t xml:space="preserve"/>
      </w:r>
    </w:p>
    <w:p>
      <w:pPr>
        <w:pStyle w:val="Heading1"/>
        <w:pBdr>
          <w:bottom w:val="single" w:color="2E75B6" w:sz="8" w:space="4"/>
        </w:pBdr>
        <w:spacing w:after="120" w:before="400"/>
      </w:pPr>
      <w:r>
        <w:rPr>
          <w:rFonts w:ascii="Arial" w:cs="Arial" w:eastAsia="Arial" w:hAnsi="Arial"/>
          <w:b/>
          <w:bCs/>
          <w:color w:val="1F4E79"/>
          <w:sz w:val="34"/>
          <w:szCs w:val="34"/>
        </w:rPr>
        <w:t xml:space="preserve">8.  Enterprise AI Failure Patterns and T.R.U.S.T. Responses</w:t>
      </w:r>
    </w:p>
    <w:p>
      <w:pPr>
        <w:spacing w:after="100" w:before="80"/>
        <w:jc w:val="both"/>
      </w:pPr>
      <w:r>
        <w:rPr>
          <w:rFonts w:ascii="Arial" w:cs="Arial" w:eastAsia="Arial" w:hAnsi="Arial"/>
          <w:sz w:val="22"/>
          <w:szCs w:val="22"/>
        </w:rPr>
        <w:t xml:space="preserve">The most common enterprise AI governance failures map directly to specific T.R.U.S.T. control gaps. These are the default failure modes in most organisations — not edge cases.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00"/>
        <w:gridCol w:w="32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Failure Pattern</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Root Cause</w:t>
            </w:r>
          </w:p>
        </w:tc>
        <w:tc>
          <w:tcPr>
            <w:tcW w:type="dxa" w:w="21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T.R.U.S.T. Gap</w:t>
            </w:r>
          </w:p>
        </w:tc>
        <w:tc>
          <w:tcPr>
            <w:tcW w:type="dxa" w:w="32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Preventive Control</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Hallucinations in production reports</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validation gate; no human-in-the-loop controls; AI output treated as source of record</w:t>
            </w:r>
          </w:p>
        </w:tc>
        <w:tc>
          <w:tcPr>
            <w:tcW w:type="dxa" w:w="21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Safety Guardrails + Responsibility</w:t>
            </w:r>
          </w:p>
        </w:tc>
        <w:tc>
          <w:tcPr>
            <w:tcW w:type="dxa" w:w="32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Behaviour gate (hallucination scoring); HITL hooks for low-confidence outputs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Confidential data in public AI tools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DLP; no approved tooling policy; employees unaware of data handling implications</w:t>
            </w:r>
          </w:p>
        </w:tc>
        <w:tc>
          <w:tcPr>
            <w:tcW w:type="dxa" w:w="21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User Rights + Safety</w:t>
            </w:r>
          </w:p>
        </w:tc>
        <w:tc>
          <w:tcPr>
            <w:tcW w:type="dxa" w:w="32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Data Loss Prevention technical controls; restricted to formally reviewed tools; consent boundary monitoring</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Systemic bias in hiring or credit decisions</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pre-deployment bias testing; no demographic subgroup evaluation; no audit trail</w:t>
            </w:r>
          </w:p>
        </w:tc>
        <w:tc>
          <w:tcPr>
            <w:tcW w:type="dxa" w:w="21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Transparency + Traceability</w:t>
            </w:r>
          </w:p>
        </w:tc>
        <w:tc>
          <w:tcPr>
            <w:tcW w:type="dxa" w:w="32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Model documentation with subgroup performance data required at Govern phase; cell-level lineage tracking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Operational errors from unverified agent code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Autonomous agents releasing code or executing actions without human review</w:t>
            </w:r>
          </w:p>
        </w:tc>
        <w:tc>
          <w:tcPr>
            <w:tcW w:type="dxa" w:w="21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Responsibility + Safety</w:t>
            </w:r>
          </w:p>
        </w:tc>
        <w:tc>
          <w:tcPr>
            <w:tcW w:type="dxa" w:w="32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Security and Behaviour gates; RBAC on agent identities; HITL queuing for low-confidence action decisions</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Governance disappears post-deployment</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Compliance treated as a pre-launch checklist; no production monitoring</w:t>
            </w:r>
          </w:p>
        </w:tc>
        <w:tc>
          <w:tcPr>
            <w:tcW w:type="dxa" w:w="21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Traceability + Responsibility</w:t>
            </w:r>
          </w:p>
        </w:tc>
        <w:tc>
          <w:tcPr>
            <w:tcW w:type="dxa" w:w="32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Production observability required before first production request; named owner accountable for post-production drift</w:t>
            </w:r>
          </w:p>
        </w:tc>
      </w:tr>
    </w:tbl>
    <w:p>
      <w:pPr>
        <w:spacing w:after="0" w:before="200"/>
      </w:pPr>
      <w:r>
        <w:t xml:space="preserve"/>
      </w:r>
    </w:p>
    <w:p>
      <w:pPr>
        <w:spacing w:after="80" w:before="40"/>
        <w:ind w:left="360"/>
      </w:pPr>
      <w:r>
        <w:rPr>
          <w:rFonts w:ascii="Arial" w:cs="Arial" w:eastAsia="Arial" w:hAnsi="Arial"/>
          <w:color w:val="2E75B6"/>
          <w:sz w:val="19"/>
          <w:szCs w:val="19"/>
        </w:rPr>
        <w:t xml:space="preserve">→ SpanForge Way v4.9: System 05 — Failure Funnel and Cost Model: Cost breakdown of ungoverned AI deployments</w:t>
      </w:r>
    </w:p>
    <w:p>
      <w:pPr>
        <w:pStyle w:val="Heading1"/>
        <w:pBdr>
          <w:bottom w:val="single" w:color="2E75B6" w:sz="8" w:space="4"/>
        </w:pBdr>
        <w:spacing w:after="120" w:before="400"/>
      </w:pPr>
      <w:r>
        <w:rPr>
          <w:rFonts w:ascii="Arial" w:cs="Arial" w:eastAsia="Arial" w:hAnsi="Arial"/>
          <w:b/>
          <w:bCs/>
          <w:color w:val="1F4E79"/>
          <w:sz w:val="34"/>
          <w:szCs w:val="34"/>
        </w:rPr>
        <w:t xml:space="preserve">9.  Intellectual Property and AI Asset Recognition</w:t>
      </w:r>
    </w:p>
    <w:p>
      <w:pPr>
        <w:spacing w:after="100" w:before="80"/>
        <w:jc w:val="both"/>
      </w:pPr>
      <w:r>
        <w:rPr>
          <w:rFonts w:ascii="Arial" w:cs="Arial" w:eastAsia="Arial" w:hAnsi="Arial"/>
          <w:sz w:val="22"/>
          <w:szCs w:val="22"/>
        </w:rPr>
        <w:t xml:space="preserve">The T.R.U.S.T. Framework's Traceability dimension has a direct commercial application beyond regulatory compliance: it is the mechanism by which AI systems can support recognition as protectable intellectual property assets.</w:t>
      </w:r>
    </w:p>
    <w:p>
      <w:pPr>
        <w:spacing w:after="100" w:before="80"/>
        <w:jc w:val="both"/>
      </w:pPr>
      <w:r>
        <w:rPr>
          <w:rFonts w:ascii="Arial" w:cs="Arial" w:eastAsia="Arial" w:hAnsi="Arial"/>
          <w:sz w:val="22"/>
          <w:szCs w:val="22"/>
        </w:rPr>
        <w:t xml:space="preserve">Under International Accounting Standard 38 (IAS 38), the T.R.U.S.T. audit trail and model registry can support recognition of AI systems as intangible assets on the balance sheet, subject to meeting the standard's identifiability, control, and reliable measurement criteria. This is not automatic — it requires active documentation aligned to IAS 38 requirements.</w:t>
      </w:r>
    </w:p>
    <w:p>
      <w:pPr>
        <w:pStyle w:val="ListParagraph"/>
        <w:numPr>
          <w:ilvl w:val="0"/>
          <w:numId w:val="3"/>
        </w:numPr>
        <w:spacing w:after="60" w:before="60"/>
      </w:pPr>
      <w:r>
        <w:rPr>
          <w:rFonts w:ascii="Arial" w:cs="Arial" w:eastAsia="Arial" w:hAnsi="Arial"/>
          <w:sz w:val="22"/>
          <w:szCs w:val="22"/>
        </w:rPr>
        <w:t xml:space="preserve">Identifiability — AI innovations documented in the model registry are separable from goodwill. Training datasets and model architectures documented with full lineage can be licensed or transferred independently.</w:t>
      </w:r>
    </w:p>
    <w:p>
      <w:pPr>
        <w:pStyle w:val="ListParagraph"/>
        <w:numPr>
          <w:ilvl w:val="0"/>
          <w:numId w:val="3"/>
        </w:numPr>
        <w:spacing w:after="60" w:before="60"/>
      </w:pPr>
      <w:r>
        <w:rPr>
          <w:rFonts w:ascii="Arial" w:cs="Arial" w:eastAsia="Arial" w:hAnsi="Arial"/>
          <w:sz w:val="22"/>
          <w:szCs w:val="22"/>
        </w:rPr>
        <w:t xml:space="preserve">Control — organisations demonstrate legal and practical control through T.R.U.S.T.-enforced technical measures (encryption, access controls, RBAC) and the legal protections those records support.</w:t>
      </w:r>
    </w:p>
    <w:p>
      <w:pPr>
        <w:pStyle w:val="ListParagraph"/>
        <w:numPr>
          <w:ilvl w:val="0"/>
          <w:numId w:val="3"/>
        </w:numPr>
        <w:spacing w:after="60" w:before="60"/>
      </w:pPr>
      <w:r>
        <w:rPr>
          <w:rFonts w:ascii="Arial" w:cs="Arial" w:eastAsia="Arial" w:hAnsi="Arial"/>
          <w:sz w:val="22"/>
          <w:szCs w:val="22"/>
        </w:rPr>
        <w:t xml:space="preserve">Reliable measurement — Govern phase cost documentation provides structured evidence for cost determination; the value measurement model provides the basis for demonstrating probable future economic benefit.</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The Human Authorship Requirement</w:t>
            </w:r>
          </w:p>
          <w:p>
            <w:pPr>
              <w:spacing w:after="40" w:before="0"/>
            </w:pPr>
            <w:r>
              <w:rPr>
                <w:rFonts w:ascii="Arial" w:cs="Arial" w:eastAsia="Arial" w:hAnsi="Arial"/>
                <w:sz w:val="20"/>
                <w:szCs w:val="20"/>
              </w:rPr>
              <w:t xml:space="preserve">IP protection for AI-generated content requires demonstrable human authorship. Content created exclusively by AI cannot be copyrighted in most jurisdictions. T.R.U.S.T.'s Traceability dimension addresses this: by maintaining audit trails of human intervention — model fine-tuning decisions, prompt design, evaluation criteria, and creative direction — organisations can identify and evidence their human contributions.</w:t>
            </w:r>
          </w:p>
          <w:p>
            <w:pPr>
              <w:spacing w:after="40" w:before="0"/>
            </w:pPr>
            <w:r>
              <w:rPr>
                <w:rFonts w:ascii="Arial" w:cs="Arial" w:eastAsia="Arial" w:hAnsi="Arial"/>
                <w:sz w:val="20"/>
                <w:szCs w:val="20"/>
              </w:rPr>
              <w:t xml:space="preserve">Without this audit trail, AI-assisted work may be unprotectable even when significant human creative and technical effort was invested.</w:t>
            </w:r>
          </w:p>
        </w:tc>
      </w:tr>
    </w:tbl>
    <w:p>
      <w:pPr>
        <w:spacing w:after="0" w:before="200"/>
      </w:pPr>
      <w:r>
        <w:t xml:space="preserve"/>
      </w:r>
    </w:p>
    <w:p>
      <w:pPr>
        <w:spacing w:after="80" w:before="40"/>
        <w:ind w:left="360"/>
      </w:pPr>
      <w:r>
        <w:rPr>
          <w:rFonts w:ascii="Arial" w:cs="Arial" w:eastAsia="Arial" w:hAnsi="Arial"/>
          <w:color w:val="2E75B6"/>
          <w:sz w:val="19"/>
          <w:szCs w:val="19"/>
        </w:rPr>
        <w:t xml:space="preserve">→ SpanForge Way v4.9: System 03 — Data Governance; Model Lifecycle Management</w:t>
      </w:r>
    </w:p>
    <w:p>
      <w:pPr>
        <w:pStyle w:val="Heading1"/>
        <w:pBdr>
          <w:bottom w:val="single" w:color="2E75B6" w:sz="8" w:space="4"/>
        </w:pBdr>
        <w:spacing w:after="120" w:before="400"/>
      </w:pPr>
      <w:r>
        <w:rPr>
          <w:rFonts w:ascii="Arial" w:cs="Arial" w:eastAsia="Arial" w:hAnsi="Arial"/>
          <w:b/>
          <w:bCs/>
          <w:color w:val="1F4E79"/>
          <w:sz w:val="34"/>
          <w:szCs w:val="34"/>
        </w:rPr>
        <w:t xml:space="preserve">10.  T.R.U.S.T. Evaluation Scorecard</w:t>
      </w:r>
    </w:p>
    <w:p>
      <w:pPr>
        <w:spacing w:after="100" w:before="80"/>
        <w:jc w:val="both"/>
      </w:pPr>
      <w:r>
        <w:rPr>
          <w:rFonts w:ascii="Arial" w:cs="Arial" w:eastAsia="Arial" w:hAnsi="Arial"/>
          <w:sz w:val="22"/>
          <w:szCs w:val="22"/>
        </w:rPr>
        <w:t xml:space="preserve">A structured 1–4 maturity assessment across all five dimensions. Use this as a standalone diagnostic or a Govern phase readiness check. Organisations that skip this assessment typically discover governance gaps for the first time during a regulatory audit.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How to Use This Scorecard</w:t>
            </w:r>
          </w:p>
          <w:p>
            <w:pPr>
              <w:spacing w:after="40" w:before="0"/>
            </w:pPr>
            <w:r>
              <w:rPr>
                <w:rFonts w:ascii="Arial" w:cs="Arial" w:eastAsia="Arial" w:hAnsi="Arial"/>
                <w:sz w:val="20"/>
                <w:szCs w:val="20"/>
              </w:rPr>
              <w:t xml:space="preserve">Score each dimension from 1 (Not in place) to 4 (Fully enforced). A total score below 12 indicates significant governance exposure — no high-risk AI system should proceed to production until the score is raised. A score of 16 or above is the threshold for T.R.U.S.T. certification.</w:t>
            </w:r>
          </w:p>
          <w:p>
            <w:pPr>
              <w:spacing w:after="40" w:before="0"/>
            </w:pPr>
            <w:r>
              <w:rPr>
                <w:rFonts w:ascii="Arial" w:cs="Arial" w:eastAsia="Arial" w:hAnsi="Arial"/>
                <w:sz w:val="20"/>
                <w:szCs w:val="20"/>
              </w:rPr>
              <w:t xml:space="preserve">T.R.U.S.T. certification means the system has completed the full five-phase lifecycle, passed all six Build gates, satisfied every T.R.U.S.T. dimension in the Govern phase, and has production observability active before the first production request. Certification is self-attested by the named gate authority sponsor, supported by the complete audit trail of gate records, risk registers, and incident playbooks.</w:t>
            </w:r>
          </w:p>
          <w:p>
            <w:pPr>
              <w:spacing w:after="40" w:before="0"/>
            </w:pPr>
            <w:r>
              <w:rPr>
                <w:rFonts w:ascii="Arial" w:cs="Arial" w:eastAsia="Arial" w:hAnsi="Arial"/>
                <w:sz w:val="20"/>
                <w:szCs w:val="20"/>
              </w:rPr>
              <w:t xml:space="preserve">SpanForge provides the certification infrastructure. Contact sriram@getspanforge.com to begin the certification process.</w:t>
            </w:r>
          </w:p>
        </w:tc>
      </w:tr>
    </w:tbl>
    <w:p>
      <w:pPr>
        <w:spacing w:after="80" w:before="12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200"/>
        <w:gridCol w:w="2200"/>
        <w:gridCol w:w="226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Dimension</w:t>
            </w:r>
          </w:p>
        </w:tc>
        <w:tc>
          <w:tcPr>
            <w:tcW w:type="dxa" w:w="21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1 — Not in Place</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2 — Policy Only</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3 — Partially Enforced</w:t>
            </w:r>
          </w:p>
        </w:tc>
        <w:tc>
          <w:tcPr>
            <w:tcW w:type="dxa" w:w="22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4 — Fully Enforced</w:t>
            </w:r>
          </w:p>
        </w:tc>
      </w:tr>
      <w:tr>
        <w:tc>
          <w:tcPr>
            <w:tcW w:type="dxa" w:w="1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Transparency</w:t>
            </w:r>
          </w:p>
        </w:tc>
        <w:tc>
          <w:tcPr>
            <w:tcW w:type="dxa" w:w="21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explainability output; outputs are black boxes to end users</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Model documentation exists; no decision-level explanation capability</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Some decision driver visualisation in place; not consistent across all outputs</w:t>
            </w:r>
          </w:p>
        </w:tc>
        <w:tc>
          <w:tcPr>
            <w:tcW w:type="dxa" w:w="22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Decision driver visualisation live; Model Cards published; explanation available on request for all outputs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Responsibility</w:t>
            </w:r>
          </w:p>
        </w:tc>
        <w:tc>
          <w:tcPr>
            <w:tcW w:type="dxa" w:w="21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named owner; no registry; accountability unclear on failure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Owner informally identified; no documented escalation pathway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Model registry exists; escalation pathways defined but not tested</w:t>
            </w:r>
          </w:p>
        </w:tc>
        <w:tc>
          <w:tcPr>
            <w:tcW w:type="dxa" w:w="22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Named owner in model registry; gate authority documented; escalation pathways tested and live</w:t>
            </w:r>
          </w:p>
        </w:tc>
      </w:tr>
      <w:tr>
        <w:tc>
          <w:tcPr>
            <w:tcW w:type="dxa" w:w="1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User Rights</w:t>
            </w:r>
          </w:p>
        </w:tc>
        <w:tc>
          <w:tcPr>
            <w:tcW w:type="dxa" w:w="21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consent mechanism; no disclosure; no recourse pathway</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Privacy policy exists; no technical enforcement; no individual recourse</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Consent mechanisms deployed; recourse pathway defined but not monitored</w:t>
            </w:r>
          </w:p>
        </w:tc>
        <w:tc>
          <w:tcPr>
            <w:tcW w:type="dxa" w:w="22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Consent boundary enforcement live; right to explanation available; data deletion technically supported</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Safety Guardrails</w:t>
            </w:r>
          </w:p>
        </w:tc>
        <w:tc>
          <w:tcPr>
            <w:tcW w:type="dxa" w:w="21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safety testing; no adversarial testing; manual code review only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Some testing in place; no standardised pipeline; inconsistent coverage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Most Build gates pass; adversarial testing not systematic; runtime monitoring partial</w:t>
            </w:r>
          </w:p>
        </w:tc>
        <w:tc>
          <w:tcPr>
            <w:tcW w:type="dxa" w:w="22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All six Build gates mandatory and passing; adversarial testing at Behaviour gate; production safety monitoring live</w:t>
            </w:r>
          </w:p>
        </w:tc>
      </w:tr>
      <w:tr>
        <w:tc>
          <w:tcPr>
            <w:tcW w:type="dxa" w:w="1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Traceability</w:t>
            </w:r>
          </w:p>
        </w:tc>
        <w:tc>
          <w:tcPr>
            <w:tcW w:type="dxa" w:w="21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No audit trail; decisions unrecoverable post-hoc</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Logs exist but not structured for audit; no lineage documentation</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Structured logging in place; lineage partially documented; not regulator-ready</w:t>
            </w:r>
          </w:p>
        </w:tc>
        <w:tc>
          <w:tcPr>
            <w:tcW w:type="dxa" w:w="22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Cryptographically signed immutable trail; full data lineage documented; export-ready for regulators</w:t>
            </w:r>
          </w:p>
        </w:tc>
      </w:tr>
    </w:tbl>
    <w:p>
      <w:pPr>
        <w:spacing w:after="0" w:before="200"/>
      </w:pPr>
      <w:r>
        <w:t xml:space="preserve"/>
      </w:r>
    </w:p>
    <w:p>
      <w:pPr>
        <w:pStyle w:val="Heading1"/>
        <w:pBdr>
          <w:bottom w:val="single" w:color="2E75B6" w:sz="8" w:space="4"/>
        </w:pBdr>
        <w:spacing w:after="120" w:before="400"/>
      </w:pPr>
      <w:r>
        <w:rPr>
          <w:rFonts w:ascii="Arial" w:cs="Arial" w:eastAsia="Arial" w:hAnsi="Arial"/>
          <w:b/>
          <w:bCs/>
          <w:color w:val="1F4E79"/>
          <w:sz w:val="34"/>
          <w:szCs w:val="34"/>
        </w:rPr>
        <w:t xml:space="preserve">11.  Implementation Pathway</w:t>
      </w:r>
    </w:p>
    <w:p>
      <w:pPr>
        <w:spacing w:after="100" w:before="80"/>
        <w:jc w:val="both"/>
      </w:pPr>
      <w:r>
        <w:rPr>
          <w:rFonts w:ascii="Arial" w:cs="Arial" w:eastAsia="Arial" w:hAnsi="Arial"/>
          <w:sz w:val="22"/>
          <w:szCs w:val="22"/>
        </w:rPr>
        <w:t xml:space="preserve">Adopting T.R.U.S.T. is a shift to an operating model in which governance is the default state of every AI system — enforced at the platform level, not maintained by human process. The following roadmap is sequenced to build controls in dependency order, designed for organisations starting at low or inconsistent governance maturity.</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400"/>
        <w:gridCol w:w="300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Phase</w:t>
            </w:r>
          </w:p>
        </w:tc>
        <w:tc>
          <w:tcPr>
            <w:tcW w:type="dxa" w:w="1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Timeframe</w:t>
            </w:r>
          </w:p>
        </w:tc>
        <w:tc>
          <w:tcPr>
            <w:tcW w:type="dxa" w:w="3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Actions</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T.R.U.S.T. Dimensions Activated</w:t>
            </w:r>
          </w:p>
        </w:tc>
      </w:tr>
      <w:tr>
        <w:tc>
          <w:tcPr>
            <w:tcW w:type="dxa" w:w="1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Baseline Assessment</w:t>
            </w:r>
          </w:p>
        </w:tc>
        <w:tc>
          <w:tcPr>
            <w:tcW w:type="dxa" w:w="1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Weeks 1–2</w:t>
            </w:r>
          </w:p>
        </w:tc>
        <w:tc>
          <w:tcPr>
            <w:tcW w:type="dxa" w:w="3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Map all active AI systems against the T.R.U.S.T. Evaluation Scorecard. Identify dimension scores below 3. Prioritise high-risk systems.</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All five — diagnostic only</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Foundation Controls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Weeks 3–6</w:t>
            </w:r>
          </w:p>
        </w:tc>
        <w:tc>
          <w:tcPr>
            <w:tcW w:type="dxa" w:w="3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Constitute gate authority for all active initiatives. Deploy model registry. Define escalation pathways. Begin Model Card production.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Responsibility; Transparency</w:t>
            </w:r>
          </w:p>
        </w:tc>
      </w:tr>
      <w:tr>
        <w:tc>
          <w:tcPr>
            <w:tcW w:type="dxa" w:w="1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Technical Enforcement</w:t>
            </w:r>
          </w:p>
        </w:tc>
        <w:tc>
          <w:tcPr>
            <w:tcW w:type="dxa" w:w="1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Weeks 7–12</w:t>
            </w:r>
          </w:p>
        </w:tc>
        <w:tc>
          <w:tcPr>
            <w:tcW w:type="dxa" w:w="3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Integrate production observability into all production agents. Activate consent boundary monitoring. Enable human-in-the-loop hooks on low-confidence decision types.</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Traceability; User Rights; Safety Guardrails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Govern Phase Completion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Weeks 10–16</w:t>
            </w:r>
          </w:p>
        </w:tc>
        <w:tc>
          <w:tcPr>
            <w:tcW w:type="dxa" w:w="3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Complete EU AI Act risk categorisation. Finalise compliance documentation. Assign incident playbooks. Clear Govern exit gate for all high-risk systems.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All five — compliance documentation</w:t>
            </w:r>
          </w:p>
        </w:tc>
      </w:tr>
      <w:tr>
        <w:tc>
          <w:tcPr>
            <w:tcW w:type="dxa" w:w="1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Continuous Operation</w:t>
            </w:r>
          </w:p>
        </w:tc>
        <w:tc>
          <w:tcPr>
            <w:tcW w:type="dxa" w:w="1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Ongoing</w:t>
            </w:r>
          </w:p>
        </w:tc>
        <w:tc>
          <w:tcPr>
            <w:tcW w:type="dxa" w:w="3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Monitor drift incident rates. Review gate success rate and post-production ROI quarterly. Update Model Cards on retraining. Conduct annual T.R.U.S.T. scorecard review. Track cost estimate accuracy and feed back into Design phase.</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All five — operational maintenance</w:t>
            </w:r>
          </w:p>
        </w:tc>
      </w:tr>
    </w:tbl>
    <w:p>
      <w:pPr>
        <w:spacing w:after="0" w:before="200"/>
      </w:pPr>
      <w:r>
        <w:t xml:space="preserve"/>
      </w:r>
    </w:p>
    <w:p>
      <w:pPr>
        <w:spacing w:after="80" w:before="40"/>
        <w:ind w:left="360"/>
      </w:pPr>
      <w:r>
        <w:rPr>
          <w:rFonts w:ascii="Arial" w:cs="Arial" w:eastAsia="Arial" w:hAnsi="Arial"/>
          <w:color w:val="2E75B6"/>
          <w:sz w:val="19"/>
          <w:szCs w:val="19"/>
        </w:rPr>
        <w:t xml:space="preserve">→ SpanForge Way v4.9: System 06 — AI Maturity Model; Implementation Effort Model; 90-Day SpanForge Adoption Roadmap</w:t>
      </w:r>
    </w:p>
    <w:p>
      <w:pPr>
        <w:pStyle w:val="Heading1"/>
        <w:pBdr>
          <w:bottom w:val="single" w:color="2E75B6" w:sz="8" w:space="4"/>
        </w:pBdr>
        <w:spacing w:after="120" w:before="400"/>
      </w:pPr>
      <w:r>
        <w:rPr>
          <w:rFonts w:ascii="Arial" w:cs="Arial" w:eastAsia="Arial" w:hAnsi="Arial"/>
          <w:b/>
          <w:bCs/>
          <w:color w:val="1F4E79"/>
          <w:sz w:val="34"/>
          <w:szCs w:val="34"/>
        </w:rPr>
        <w:t xml:space="preserve">Who Should Adopt T.R.U.S.T. Now</w:t>
      </w:r>
    </w:p>
    <w:p>
      <w:pPr>
        <w:spacing w:after="100" w:before="80"/>
        <w:jc w:val="both"/>
      </w:pPr>
      <w:r>
        <w:rPr>
          <w:rFonts w:ascii="Arial" w:cs="Arial" w:eastAsia="Arial" w:hAnsi="Arial"/>
          <w:sz w:val="22"/>
          <w:szCs w:val="22"/>
        </w:rPr>
        <w:t xml:space="preserve">T.R.U.S.T. is a production-grade governance standard. It is not designed for every AI experiment — it is designed for organisations where AI failure carries real consequences. The following profiles describe organisations where adopting T.R.U.S.T. now is not optional; it is urgent.</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Profile</w:t>
            </w:r>
          </w:p>
        </w:tc>
        <w:tc>
          <w:tcPr>
            <w:tcW w:type="dxa" w:w="3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Why T.R.U.S.T. Is Urgent</w:t>
            </w:r>
          </w:p>
        </w:tc>
        <w:tc>
          <w:tcPr>
            <w:tcW w:type="dxa" w:w="34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First Step</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Enterprises deploying LLMs in production</w:t>
            </w:r>
          </w:p>
        </w:tc>
        <w:tc>
          <w:tcPr>
            <w:tcW w:type="dxa" w:w="36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Autonomous agents making decisions at scale without a governance layer create unauditable liability. Every hallucination, every consent boundary violation, every drift event is an unmanaged risk until T.R.U.S.T. is in place.</w:t>
            </w:r>
          </w:p>
        </w:tc>
        <w:tc>
          <w:tcPr>
            <w:tcW w:type="dxa" w:w="34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Run the T.R.U.S.T. Evaluation Scorecard (Section 10) against your current production systems. Any dimension below 3 is an immediate remediation priority.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Regulated industries — financial services, healthcare, insurance</w:t>
            </w:r>
          </w:p>
        </w:tc>
        <w:tc>
          <w:tcPr>
            <w:tcW w:type="dxa" w:w="36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The EU AI Act (in force August 2026) imposes mandatory conformity assessments, human oversight requirements, and audit documentation for high-risk AI systems. Non-compliance is not a governance gap — it is a legal exposure with material financial penalties.</w:t>
            </w:r>
          </w:p>
        </w:tc>
        <w:tc>
          <w:tcPr>
            <w:tcW w:type="dxa" w:w="3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Complete the EU AI Act risk categorisation (Section 5.2) for every AI system in production or active development. High-risk systems must have all five T.R.U.S.T. dimensions in place before August 2026.</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AI-first organisations scaling beyond pilots</w:t>
            </w:r>
          </w:p>
        </w:tc>
        <w:tc>
          <w:tcPr>
            <w:tcW w:type="dxa" w:w="36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The transition from pilot to production is where most AI initiatives fail or create ungoverned technical debt. Without a structured gate framework and production observability, scaling compounds governance gaps rather than resolving them.</w:t>
            </w:r>
          </w:p>
        </w:tc>
        <w:tc>
          <w:tcPr>
            <w:tcW w:type="dxa" w:w="34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Implement the Foundation Controls phase of the Implementation Pathway (Section 11) before any pilot is approved for production. Gate authority must be constituted and model registry deployed before the first production request.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Organisations that have experienced AI incidents</w:t>
            </w:r>
          </w:p>
        </w:tc>
        <w:tc>
          <w:tcPr>
            <w:tcW w:type="dxa" w:w="36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A hallucination, a data breach via public AI tools, a bias complaint, or a failed audit are governance signals, not one-off events. Without structural change, the same failure modes recur. T.R.U.S.T. provides the framework to close the specific gap that caused each incident.</w:t>
            </w:r>
          </w:p>
        </w:tc>
        <w:tc>
          <w:tcPr>
            <w:tcW w:type="dxa" w:w="3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Map the incident to the T.R.U.S.T. failure pattern table (Section 8). The corresponding preventive control is the minimum immediate remediation.</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Technology leaders seeking board-level AI governance mandate</w:t>
            </w:r>
          </w:p>
        </w:tc>
        <w:tc>
          <w:tcPr>
            <w:tcW w:type="dxa" w:w="36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Boards and audit committees are increasingly requiring evidence of AI governance — not assurances. T.R.U.S.T. provides the structured audit trail, maturity scorecard, and compliance documentation that converts governance intent into board-ready evidence.</w:t>
            </w:r>
          </w:p>
        </w:tc>
        <w:tc>
          <w:tcPr>
            <w:tcW w:type="dxa" w:w="34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Use the T.R.U.S.T. Evaluation Scorecard (Section 10) as the basis for a board governance briefing. Current score, target score, and remediation timeline is the minimum credible brief.</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Engineering teams implementing AI governance incrementally</w:t>
            </w:r>
          </w:p>
        </w:tc>
        <w:tc>
          <w:tcPr>
            <w:tcW w:type="dxa" w:w="36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Individual gate checks in CI/CD pipelines produce the earliest evidence of governance intent — catching PII exposure, hallucination failures, and prompt injection vulnerabilities before they reach production. Starting with one executable is better than waiting for full platform adoption. The T.R.U.S.T. standard is designed to be adopted one dimension at a time, with each step producing verifiable evidence of governance progress.</w:t>
            </w:r>
          </w:p>
        </w:tc>
        <w:tc>
          <w:tcPr>
            <w:tcW w:type="dxa" w:w="3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pPr>
              <w:spacing w:after="0" w:before="0"/>
            </w:pPr>
            <w:r>
              <w:rPr>
                <w:rFonts w:ascii="Arial" w:cs="Arial" w:eastAsia="Arial" w:hAnsi="Arial"/>
                <w:sz w:val="20"/>
                <w:szCs w:val="20"/>
              </w:rPr>
              <w:t xml:space="preserve">Install the spanforge-secrets or spanforge-behaviour executable into your existing CI/CD pipeline. Run it on your first LLM project. The structured JSON output identifies your current governance gaps by dimension — and maps directly to the T.R.U.S.T. Evaluation Scorecard in Section 10.</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Not sure where to start?</w:t>
            </w:r>
          </w:p>
          <w:p>
            <w:pPr>
              <w:spacing w:after="40" w:before="0"/>
            </w:pPr>
            <w:r>
              <w:rPr>
                <w:rFonts w:ascii="Arial" w:cs="Arial" w:eastAsia="Arial" w:hAnsi="Arial"/>
                <w:sz w:val="20"/>
                <w:szCs w:val="20"/>
              </w:rPr>
              <w:t xml:space="preserve">Begin with the T.R.U.S.T. Evaluation Scorecard in Section 10. Score your highest-risk AI system across all five dimensions. Any score below 12 is a material governance gap that should be resolved before the system processes another production request.</w:t>
            </w:r>
          </w:p>
          <w:p>
            <w:pPr>
              <w:spacing w:after="40" w:before="0"/>
            </w:pPr>
            <w:r>
              <w:rPr>
                <w:rFonts w:ascii="Arial" w:cs="Arial" w:eastAsia="Arial" w:hAnsi="Arial"/>
                <w:sz w:val="20"/>
                <w:szCs w:val="20"/>
              </w:rPr>
              <w:t xml:space="preserve">Contact SpanForge for a 4-Week AI Portfolio Diagnostic: getspanforge.com/platform</w:t>
            </w:r>
          </w:p>
        </w:tc>
      </w:tr>
    </w:tbl>
    <w:p>
      <w:pPr>
        <w:spacing w:after="0" w:before="160"/>
      </w:pPr>
      <w:r>
        <w:t xml:space="preserve"/>
      </w:r>
    </w:p>
    <w:p>
      <w:pPr>
        <w:pStyle w:val="Heading1"/>
        <w:pBdr>
          <w:bottom w:val="single" w:color="2E75B6" w:sz="8" w:space="4"/>
        </w:pBdr>
        <w:spacing w:after="120" w:before="400"/>
      </w:pPr>
      <w:r>
        <w:rPr>
          <w:rFonts w:ascii="Arial" w:cs="Arial" w:eastAsia="Arial" w:hAnsi="Arial"/>
          <w:b/>
          <w:bCs/>
          <w:color w:val="1F4E79"/>
          <w:sz w:val="34"/>
          <w:szCs w:val="34"/>
        </w:rPr>
        <w:t xml:space="preserve">13.  Synthesis: Governance as Architecture</w:t>
      </w:r>
    </w:p>
    <w:p>
      <w:pPr>
        <w:spacing w:after="100" w:before="80"/>
        <w:jc w:val="both"/>
      </w:pPr>
      <w:r>
        <w:rPr>
          <w:rFonts w:ascii="Arial" w:cs="Arial" w:eastAsia="Arial" w:hAnsi="Arial"/>
          <w:sz w:val="22"/>
          <w:szCs w:val="22"/>
        </w:rPr>
        <w:t xml:space="preserve">The T.R.U.S.T. Framework rests on a single foundational conviction: governance is architecture. It is not a compliance exercise bolted onto delivery. It is a design decision made at the architecture stage and enforced technically in production.</w:t>
      </w:r>
    </w:p>
    <w:p>
      <w:pPr>
        <w:spacing w:after="100" w:before="80"/>
        <w:jc w:val="both"/>
      </w:pPr>
      <w:r>
        <w:rPr>
          <w:rFonts w:ascii="Arial" w:cs="Arial" w:eastAsia="Arial" w:hAnsi="Arial"/>
          <w:b/>
          <w:bCs/>
          <w:sz w:val="22"/>
          <w:szCs w:val="22"/>
        </w:rPr>
        <w:t xml:space="preserve">If it is not in the code, it is not real.</w:t>
      </w:r>
    </w:p>
    <w:p>
      <w:pPr>
        <w:spacing w:after="60" w:before="60"/>
      </w:pPr>
      <w:r>
        <w:t xml:space="preserve"/>
      </w:r>
    </w:p>
    <w:p>
      <w:pPr>
        <w:spacing w:after="100" w:before="80"/>
        <w:jc w:val="both"/>
      </w:pPr>
      <w:r>
        <w:rPr>
          <w:rFonts w:ascii="Arial" w:cs="Arial" w:eastAsia="Arial" w:hAnsi="Arial"/>
          <w:sz w:val="22"/>
          <w:szCs w:val="22"/>
        </w:rPr>
        <w:t xml:space="preserve">An AI system that passes a policy review but operates without immutable logs, named ownership, and consent boundary enforcement is not a governed system. It is an ungoverned system with a governance document attached to it.</w:t>
      </w:r>
    </w:p>
    <w:p>
      <w:pPr>
        <w:spacing w:after="100" w:before="80"/>
        <w:jc w:val="both"/>
      </w:pPr>
      <w:r>
        <w:rPr>
          <w:rFonts w:ascii="Arial" w:cs="Arial" w:eastAsia="Arial" w:hAnsi="Arial"/>
          <w:sz w:val="22"/>
          <w:szCs w:val="22"/>
        </w:rPr>
        <w:t xml:space="preserve">As AI systems become autonomous enough to take consequential actions — in financial markets, clinical settings, HR decisions, and infrastructure management — the distance between 'governance as policy' and 'governance as architecture' becomes the difference between accountability and liability.</w:t>
      </w:r>
    </w:p>
    <w:p>
      <w:pPr>
        <w:spacing w:after="8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The T.R.U.S.T. Standard — What Certification Requires</w:t>
            </w:r>
          </w:p>
          <w:p>
            <w:pPr>
              <w:spacing w:after="40" w:before="0"/>
            </w:pPr>
            <w:r>
              <w:rPr>
                <w:rFonts w:ascii="Arial" w:cs="Arial" w:eastAsia="Arial" w:hAnsi="Arial"/>
                <w:sz w:val="20"/>
                <w:szCs w:val="20"/>
              </w:rPr>
              <w:t xml:space="preserve">Every T.R.U.S.T.-certified AI system satisfies all five dimensions as technical controls — not policy aspirations.</w:t>
            </w:r>
          </w:p>
          <w:p>
            <w:pPr>
              <w:spacing w:after="40" w:before="0"/>
            </w:pPr>
            <w:r>
              <w:rPr>
                <w:rFonts w:ascii="Arial" w:cs="Arial" w:eastAsia="Arial" w:hAnsi="Arial"/>
                <w:sz w:val="20"/>
                <w:szCs w:val="20"/>
              </w:rPr>
              <w:t xml:space="preserve">Responsibility is enforced by requiring a named owner and by making infrastructure cost visible before any architecture decision is approved. Traceability is enforced by cryptographically signed logs. User Rights are enforced by consent boundary monitoring. Safety is enforced by a six-gate CI/CD pipeline. Transparency is enforced by decision driver visualisation.</w:t>
            </w:r>
          </w:p>
          <w:p>
            <w:pPr>
              <w:spacing w:after="40" w:before="0"/>
            </w:pPr>
            <w:r>
              <w:rPr>
                <w:rFonts w:ascii="Arial" w:cs="Arial" w:eastAsia="Arial" w:hAnsi="Arial"/>
                <w:sz w:val="20"/>
                <w:szCs w:val="20"/>
              </w:rPr>
              <w:t xml:space="preserve">SpanForge is the reference implementation of this standard. The framework applies to every AI system in the SpanForge lifecycle. It is not optional at any gate.</w:t>
            </w:r>
          </w:p>
        </w:tc>
      </w:tr>
    </w:tbl>
    <w:p>
      <w:pPr>
        <w:spacing w:after="80" w:before="160"/>
      </w:pPr>
      <w:r>
        <w:t xml:space="preserve"/>
      </w:r>
    </w:p>
    <w:p>
      <w:pPr>
        <w:spacing w:after="100" w:before="80"/>
        <w:jc w:val="both"/>
      </w:pPr>
      <w:r>
        <w:rPr>
          <w:rFonts w:ascii="Arial" w:cs="Arial" w:eastAsia="Arial" w:hAnsi="Arial"/>
          <w:sz w:val="22"/>
          <w:szCs w:val="22"/>
        </w:rPr>
        <w:t xml:space="preserve">Organisations that implement T.R.U.S.T. are not simply meeting regulatory requirements. They are building the only durable competitive advantage available in the Intelligent Age: the institutional capacity to deploy AI at scale — with the accountability structures and technical safeguards that make trust, with regulators, users, and the board, something they can prove, not just claim.</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80"/>
              <w:left w:type="dxa" w:w="240"/>
              <w:bottom w:type="dxa" w:w="180"/>
              <w:right w:type="dxa" w:w="240"/>
            </w:tcMar>
          </w:tcPr>
          <w:p>
            <w:pPr>
              <w:spacing w:after="60" w:before="0"/>
            </w:pPr>
            <w:r>
              <w:rPr>
                <w:rFonts w:ascii="Arial" w:cs="Arial" w:eastAsia="Arial" w:hAnsi="Arial"/>
                <w:b/>
                <w:bCs/>
                <w:color w:val="1F4E79"/>
                <w:sz w:val="20"/>
                <w:szCs w:val="20"/>
              </w:rPr>
              <w:t xml:space="preserve">Who T.R.U.S.T. Is Not Designed For</w:t>
            </w:r>
          </w:p>
          <w:p>
            <w:pPr>
              <w:spacing w:after="40" w:before="0"/>
            </w:pPr>
            <w:r>
              <w:rPr>
                <w:rFonts w:ascii="Arial" w:cs="Arial" w:eastAsia="Arial" w:hAnsi="Arial"/>
                <w:sz w:val="20"/>
                <w:szCs w:val="20"/>
              </w:rPr>
              <w:t xml:space="preserve">T.R.U.S.T. is not designed for experimental, pre-production, or low-governance environments. If an initiative has no production intent, no stakeholder accountability, and no regulated data — apply lighter-weight controls. T.R.U.S.T. is a production-grade standard. Calibrate governance to the stakes.</w:t>
            </w:r>
          </w:p>
        </w:tc>
      </w:tr>
    </w:tbl>
    <w:p>
      <w:pPr>
        <w:spacing w:after="80" w:before="120"/>
      </w:pPr>
      <w:r>
        <w:t xml:space="preserve"/>
      </w:r>
    </w:p>
    <w:p>
      <w:pPr>
        <w:spacing w:after="80" w:before="80"/>
        <w:jc w:val="center"/>
      </w:pPr>
      <w:r>
        <w:rPr>
          <w:rFonts w:ascii="Arial" w:cs="Arial" w:eastAsia="Arial" w:hAnsi="Arial"/>
          <w:b/>
          <w:bCs/>
          <w:color w:val="1F4E79"/>
          <w:sz w:val="26"/>
          <w:szCs w:val="26"/>
        </w:rPr>
        <w:t xml:space="preserve">Trusted AI is not a destination. It is an operating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80"/>
              <w:left w:type="dxa" w:w="400"/>
              <w:bottom w:type="dxa" w:w="280"/>
              <w:right w:type="dxa" w:w="400"/>
            </w:tcMar>
          </w:tcPr>
          <w:p>
            <w:pPr>
              <w:spacing w:after="60" w:before="0"/>
              <w:jc w:val="center"/>
            </w:pPr>
            <w:r>
              <w:rPr>
                <w:rFonts w:ascii="Arial" w:cs="Arial" w:eastAsia="Arial" w:hAnsi="Arial"/>
                <w:color w:val="C8DFF5"/>
                <w:sz w:val="24"/>
                <w:szCs w:val="24"/>
              </w:rPr>
              <w:t xml:space="preserve">AI will not fail because models are weak.</w:t>
            </w:r>
          </w:p>
          <w:p>
            <w:pPr>
              <w:spacing w:after="60" w:before="0"/>
              <w:jc w:val="center"/>
            </w:pPr>
            <w:r>
              <w:rPr>
                <w:rFonts w:ascii="Arial" w:cs="Arial" w:eastAsia="Arial" w:hAnsi="Arial"/>
                <w:color w:val="C8DFF5"/>
                <w:sz w:val="24"/>
                <w:szCs w:val="24"/>
              </w:rPr>
              <w:t xml:space="preserve">It will fail because governance was optional.</w:t>
            </w:r>
          </w:p>
          <w:p>
            <w:pPr>
              <w:spacing w:after="0" w:before="60"/>
              <w:jc w:val="center"/>
            </w:pPr>
            <w:r>
              <w:rPr>
                <w:rFonts w:ascii="Arial" w:cs="Arial" w:eastAsia="Arial" w:hAnsi="Arial"/>
                <w:b/>
                <w:bCs/>
                <w:color w:val="FFFFFF"/>
                <w:sz w:val="28"/>
                <w:szCs w:val="28"/>
              </w:rPr>
              <w:t xml:space="preserve">T.R.U.S.T. makes it non-optional.</w:t>
            </w:r>
          </w:p>
        </w:tc>
      </w:tr>
    </w:tbl>
    <w:p>
      <w:pPr>
        <w:spacing w:after="0" w:before="120"/>
      </w:pPr>
      <w:r>
        <w:t xml:space="preserve"/>
      </w:r>
    </w:p>
    <w:p>
      <w:pPr>
        <w:spacing w:after="80" w:before="40"/>
        <w:ind w:left="360"/>
      </w:pPr>
      <w:r>
        <w:rPr>
          <w:rFonts w:ascii="Arial" w:cs="Arial" w:eastAsia="Arial" w:hAnsi="Arial"/>
          <w:color w:val="2E75B6"/>
          <w:sz w:val="19"/>
          <w:szCs w:val="19"/>
        </w:rPr>
        <w:t xml:space="preserve">→ SpanForge Way v4.9: System 07 — SpanForge Doctrine: Governance is Architecture</w:t>
      </w:r>
    </w:p>
    <w:p>
      <w:pPr>
        <w:pStyle w:val="Heading1"/>
        <w:pBdr>
          <w:bottom w:val="single" w:color="2E75B6" w:sz="8" w:space="4"/>
        </w:pBdr>
        <w:spacing w:after="120" w:before="400"/>
      </w:pPr>
      <w:r>
        <w:rPr>
          <w:rFonts w:ascii="Arial" w:cs="Arial" w:eastAsia="Arial" w:hAnsi="Arial"/>
          <w:b/>
          <w:bCs/>
          <w:color w:val="1F4E79"/>
          <w:sz w:val="34"/>
          <w:szCs w:val="34"/>
        </w:rPr>
        <w:t xml:space="preserve">References</w:t>
      </w:r>
    </w:p>
    <w:p>
      <w:pPr>
        <w:spacing w:after="60" w:before="40"/>
        <w:ind w:left="360"/>
      </w:pPr>
      <w:r>
        <w:rPr>
          <w:rFonts w:ascii="Arial" w:cs="Arial" w:eastAsia="Arial" w:hAnsi="Arial"/>
          <w:color w:val="595959"/>
          <w:sz w:val="19"/>
          <w:szCs w:val="19"/>
        </w:rPr>
        <w:t xml:space="preserve">European Parliament. (2024). Regulation (EU) 2024/1689 — Artificial Intelligence Act. Official Journal of the European Union.</w:t>
      </w:r>
    </w:p>
    <w:p>
      <w:pPr>
        <w:spacing w:after="60" w:before="40"/>
        <w:ind w:left="360"/>
      </w:pPr>
      <w:r>
        <w:rPr>
          <w:rFonts w:ascii="Arial" w:cs="Arial" w:eastAsia="Arial" w:hAnsi="Arial"/>
          <w:color w:val="595959"/>
          <w:sz w:val="19"/>
          <w:szCs w:val="19"/>
        </w:rPr>
        <w:t xml:space="preserve">International Organization for Standardization. (2023). ISO/IEC 42001:2023 — Artificial Intelligence Management Systems. ISO.</w:t>
      </w:r>
    </w:p>
    <w:p>
      <w:pPr>
        <w:spacing w:after="60" w:before="40"/>
        <w:ind w:left="360"/>
      </w:pPr>
      <w:r>
        <w:rPr>
          <w:rFonts w:ascii="Arial" w:cs="Arial" w:eastAsia="Arial" w:hAnsi="Arial"/>
          <w:color w:val="595959"/>
          <w:sz w:val="19"/>
          <w:szCs w:val="19"/>
        </w:rPr>
        <w:t xml:space="preserve">International Organization for Standardization. (2021). ISO/IEC 23053:2022 — Framework for Artificial Intelligence Systems Using Machine Learning. ISO.</w:t>
      </w:r>
    </w:p>
    <w:p>
      <w:pPr>
        <w:spacing w:after="60" w:before="40"/>
        <w:ind w:left="360"/>
      </w:pPr>
      <w:r>
        <w:rPr>
          <w:rFonts w:ascii="Arial" w:cs="Arial" w:eastAsia="Arial" w:hAnsi="Arial"/>
          <w:color w:val="595959"/>
          <w:sz w:val="19"/>
          <w:szCs w:val="19"/>
        </w:rPr>
        <w:t xml:space="preserve">MIT FutureTech. (2024). The AI Risk Repository. Massachusetts Institute of Technology. https://airisk.mit.edu</w:t>
      </w:r>
    </w:p>
    <w:p>
      <w:pPr>
        <w:spacing w:after="60" w:before="40"/>
        <w:ind w:left="360"/>
      </w:pPr>
      <w:r>
        <w:rPr>
          <w:rFonts w:ascii="Arial" w:cs="Arial" w:eastAsia="Arial" w:hAnsi="Arial"/>
          <w:color w:val="595959"/>
          <w:sz w:val="19"/>
          <w:szCs w:val="19"/>
        </w:rPr>
        <w:t xml:space="preserve">National Institute of Standards and Technology. (2023). Artificial Intelligence Risk Management Framework (AI RMF 1.0). NIST AI 100-1.</w:t>
      </w:r>
    </w:p>
    <w:p>
      <w:pPr>
        <w:spacing w:after="60" w:before="40"/>
        <w:ind w:left="360"/>
      </w:pPr>
      <w:r>
        <w:rPr>
          <w:rFonts w:ascii="Arial" w:cs="Arial" w:eastAsia="Arial" w:hAnsi="Arial"/>
          <w:color w:val="595959"/>
          <w:sz w:val="19"/>
          <w:szCs w:val="19"/>
        </w:rPr>
        <w:t xml:space="preserve">OECD. (2024). OECD AI Incidents Monitor. Organisation for Economic Co-operation and Development. https://oecd.ai/en/incidents</w:t>
      </w:r>
    </w:p>
    <w:p>
      <w:pPr>
        <w:spacing w:after="60" w:before="40"/>
        <w:ind w:left="360"/>
      </w:pPr>
      <w:r>
        <w:rPr>
          <w:rFonts w:ascii="Arial" w:cs="Arial" w:eastAsia="Arial" w:hAnsi="Arial"/>
          <w:color w:val="595959"/>
          <w:sz w:val="19"/>
          <w:szCs w:val="19"/>
        </w:rPr>
        <w:t xml:space="preserve">S&amp;P Global Market Intelligence. (2025). Enterprise AI Adoption and Failure Rates Survey. S&amp;P Global.</w:t>
      </w:r>
    </w:p>
    <w:p>
      <w:pPr>
        <w:spacing w:after="60" w:before="40"/>
        <w:ind w:left="360"/>
      </w:pPr>
      <w:r>
        <w:rPr>
          <w:rFonts w:ascii="Arial" w:cs="Arial" w:eastAsia="Arial" w:hAnsi="Arial"/>
          <w:color w:val="595959"/>
          <w:sz w:val="19"/>
          <w:szCs w:val="19"/>
        </w:rPr>
        <w:t xml:space="preserve">Gartner. (2025). AI Data Management Readiness Survey. Gartner Research.</w:t>
      </w:r>
    </w:p>
    <w:p>
      <w:pPr>
        <w:spacing w:after="60" w:before="40"/>
        <w:ind w:left="360"/>
      </w:pPr>
      <w:r>
        <w:rPr>
          <w:rFonts w:ascii="Arial" w:cs="Arial" w:eastAsia="Arial" w:hAnsi="Arial"/>
          <w:color w:val="595959"/>
          <w:sz w:val="19"/>
          <w:szCs w:val="19"/>
        </w:rPr>
        <w:t xml:space="preserve">SpanForge. (2026). The SpanForge Way v4.9 — Every System, Framework, and Product Explained. getspanforge.com.</w:t>
      </w:r>
    </w:p>
    <w:p>
      <w:pPr>
        <w:spacing w:after="60" w:before="40"/>
        <w:ind w:left="360"/>
      </w:pPr>
      <w:r>
        <w:rPr>
          <w:rFonts w:ascii="Arial" w:cs="Arial" w:eastAsia="Arial" w:hAnsi="Arial"/>
          <w:color w:val="595959"/>
          <w:sz w:val="19"/>
          <w:szCs w:val="19"/>
        </w:rPr>
        <w:t xml:space="preserve">International Accounting Standards Board. (2004, revised). IAS 38 — Intangible Assets. IASB.</w:t>
      </w:r>
    </w:p>
    <w:p>
      <w:pPr>
        <w:spacing w:after="0" w:before="200"/>
      </w:pPr>
      <w:r>
        <w:t xml:space="preserve"/>
      </w:r>
    </w:p>
    <w:p>
      <w:pPr>
        <w:spacing w:after="100" w:before="200"/>
      </w:pPr>
      <w:r>
        <w:rPr>
          <w:rFonts w:ascii="Arial" w:cs="Arial" w:eastAsia="Arial" w:hAnsi="Arial"/>
          <w:b/>
          <w:bCs/>
          <w:color w:val="1F4E79"/>
          <w:sz w:val="24"/>
          <w:szCs w:val="24"/>
        </w:rPr>
        <w:t xml:space="preserve">About SpanForge</w:t>
      </w:r>
    </w:p>
    <w:p>
      <w:pPr>
        <w:spacing w:after="100" w:before="80"/>
        <w:jc w:val="both"/>
      </w:pPr>
      <w:r>
        <w:rPr>
          <w:rFonts w:ascii="Arial" w:cs="Arial" w:eastAsia="Arial" w:hAnsi="Arial"/>
          <w:sz w:val="22"/>
          <w:szCs w:val="22"/>
        </w:rPr>
        <w:t xml:space="preserve">SpanForge is the reference implementation of the T.R.U.S.T. Framework — the AI lifecycle platform for enterprise teams covering every phase from deciding whether to build, through architecture and engineering, to governance and scale. SpanForge provides the tooling, gate structure, and certification infrastructure through which organisations operationalise T.R.U.S.T. in production.</w:t>
      </w:r>
    </w:p>
    <w:p>
      <w:pPr>
        <w:spacing w:after="60" w:before="60"/>
      </w:pPr>
      <w:r>
        <w:t xml:space="preserve"/>
      </w:r>
    </w:p>
    <w:p>
      <w:pPr>
        <w:spacing w:after="100" w:before="80"/>
        <w:jc w:val="both"/>
      </w:pPr>
      <w:r>
        <w:rPr>
          <w:rFonts w:ascii="Arial" w:cs="Arial" w:eastAsia="Arial" w:hAnsi="Arial"/>
          <w:sz w:val="22"/>
          <w:szCs w:val="22"/>
        </w:rPr>
        <w:t xml:space="preserve">Website: getspanforge.com  |  Email: sriram@getspanforge.com  |  LinkedIn: linkedin.com/in/spanforge</w:t>
      </w:r>
    </w:p>
    <w:p>
      <w:pPr>
        <w:spacing w:after="100" w:before="80"/>
        <w:jc w:val="both"/>
      </w:pPr>
      <w:r>
        <w:rPr>
          <w:rFonts w:ascii="Arial" w:cs="Arial" w:eastAsia="Arial" w:hAnsi="Arial"/>
          <w:sz w:val="22"/>
          <w:szCs w:val="22"/>
        </w:rPr>
        <w:t xml:space="preserve">4-Week AI Portfolio Diagnostic: getspanforge.com/platform</w:t>
      </w:r>
    </w:p>
    <w:p>
      <w:pPr>
        <w:spacing w:after="60" w:before="120"/>
      </w:pPr>
      <w:r>
        <w:t xml:space="preserve"/>
      </w:r>
    </w:p>
    <w:p>
      <w:pPr>
        <w:spacing w:after="0" w:before="0"/>
      </w:pPr>
      <w:r>
        <w:rPr>
          <w:rFonts w:ascii="Arial" w:cs="Arial" w:eastAsia="Arial" w:hAnsi="Arial"/>
          <w:color w:val="595959"/>
          <w:sz w:val="19"/>
          <w:szCs w:val="19"/>
        </w:rPr>
        <w:t xml:space="preserve">© 2026 SpanForge. All rights reserved. T.R.U.S.T. Framework™ is an open governance standard published by SpanForge. SpanForge, Gate Readiness Score, Pilot Risk Index, Failure Funnel, Cost Model, and CostGuard are trademarks of SpanForge.</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8640"/>
      </w:tabs>
      <w:spacing w:before="60"/>
    </w:pPr>
    <w:r>
      <w:rPr>
        <w:rFonts w:ascii="Arial" w:cs="Arial" w:eastAsia="Arial" w:hAnsi="Arial"/>
        <w:color w:val="595959"/>
        <w:sz w:val="17"/>
        <w:szCs w:val="17"/>
      </w:rPr>
      <w:t xml:space="preserve">© 2026 SpanForge.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2E75B6"/>
        <w:sz w:val="17"/>
        <w:szCs w:val="17"/>
      </w:rPr>
      <w:t xml:space="preserve">T.R.U.S.T. Framework™  |  Open AI Governance Standard  |  Version 2.2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2026-04-08T23:44:24.958Z</dcterms:created>
  <dcterms:modified xsi:type="dcterms:W3CDTF">2026-04-08T23:44:24.959Z</dcterms:modified>
</cp:coreProperties>
</file>

<file path=docProps/custom.xml><?xml version="1.0" encoding="utf-8"?>
<Properties xmlns="http://schemas.openxmlformats.org/officeDocument/2006/custom-properties" xmlns:vt="http://schemas.openxmlformats.org/officeDocument/2006/docPropsVTypes"/>
</file>