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Smart Governance Project Handoff</w:t>
      </w:r>
    </w:p>
    <w:p>
      <w:pPr>
        <w:spacing w:after="280"/>
      </w:pPr>
      <w:r>
        <w:rPr>
          <w:i/>
          <w:color w:val="595959"/>
          <w:sz w:val="22"/>
        </w:rPr>
        <w:t>Completed work, deployment status, verification results, and remaining resources</w:t>
      </w:r>
    </w:p>
    <w:p>
      <w:pPr>
        <w:pStyle w:val="Heading1"/>
      </w:pPr>
      <w:r>
        <w:t>Executive summary</w:t>
      </w:r>
    </w:p>
    <w:p>
      <w:r>
        <w:t>The Smart Governance application was synchronized with teammate changes, its regional upvoting and dynamic priority features were completed, and the backend and frontend were deployed. The production services are reachable, the demo accounts authenticate successfully, sample complaints are available, and the staff triage integration has now been connected to the live backend APIs.</w:t>
      </w:r>
    </w:p>
    <w:p>
      <w:pPr>
        <w:pStyle w:val="Heading1"/>
      </w:pPr>
      <w:r>
        <w:t>Repository synchronization and release history</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1296"/>
            <w:vAlign w:val="center"/>
            <w:shd w:fill="17365D"/>
          </w:tcPr>
          <w:p>
            <w:pPr>
              <w:spacing w:after="40"/>
            </w:pPr>
            <w:r/>
            <w:r>
              <w:rPr>
                <w:b/>
                <w:color w:val="FFFFFF"/>
                <w:sz w:val="19"/>
              </w:rPr>
              <w:t>Release</w:t>
            </w:r>
          </w:p>
        </w:tc>
        <w:tc>
          <w:tcPr>
            <w:tcW w:type="dxa" w:w="4464"/>
            <w:vAlign w:val="center"/>
            <w:shd w:fill="17365D"/>
          </w:tcPr>
          <w:p>
            <w:pPr>
              <w:spacing w:after="40"/>
            </w:pPr>
            <w:r/>
            <w:r>
              <w:rPr>
                <w:b/>
                <w:color w:val="FFFFFF"/>
                <w:sz w:val="19"/>
              </w:rPr>
              <w:t>Change</w:t>
            </w:r>
          </w:p>
        </w:tc>
        <w:tc>
          <w:tcPr>
            <w:tcW w:type="dxa" w:w="4032"/>
            <w:vAlign w:val="center"/>
            <w:shd w:fill="17365D"/>
          </w:tcPr>
          <w:p>
            <w:pPr>
              <w:spacing w:after="40"/>
            </w:pPr>
            <w:r/>
            <w:r>
              <w:rPr>
                <w:b/>
                <w:color w:val="FFFFFF"/>
                <w:sz w:val="19"/>
              </w:rPr>
              <w:t>Result</w:t>
            </w:r>
          </w:p>
        </w:tc>
      </w:tr>
      <w:tr>
        <w:tc>
          <w:tcPr>
            <w:tcW w:type="dxa" w:w="1296"/>
            <w:vAlign w:val="center"/>
          </w:tcPr>
          <w:p>
            <w:pPr>
              <w:spacing w:after="40"/>
            </w:pPr>
            <w:r/>
            <w:r>
              <w:rPr>
                <w:b w:val="0"/>
                <w:sz w:val="19"/>
              </w:rPr>
              <w:t>1bc94eb</w:t>
            </w:r>
          </w:p>
        </w:tc>
        <w:tc>
          <w:tcPr>
            <w:tcW w:type="dxa" w:w="4464"/>
            <w:vAlign w:val="center"/>
          </w:tcPr>
          <w:p>
            <w:pPr>
              <w:spacing w:after="40"/>
            </w:pPr>
            <w:r/>
            <w:r>
              <w:rPr>
                <w:b w:val="0"/>
                <w:sz w:val="19"/>
              </w:rPr>
              <w:t>Merged teammate Groq provider work</w:t>
            </w:r>
          </w:p>
        </w:tc>
        <w:tc>
          <w:tcPr>
            <w:tcW w:type="dxa" w:w="4032"/>
            <w:vAlign w:val="center"/>
          </w:tcPr>
          <w:p>
            <w:pPr>
              <w:spacing w:after="40"/>
            </w:pPr>
            <w:r/>
            <w:r>
              <w:rPr>
                <w:b w:val="0"/>
                <w:sz w:val="19"/>
              </w:rPr>
              <w:t>Resolved config and provider conflicts</w:t>
            </w:r>
          </w:p>
        </w:tc>
      </w:tr>
      <w:tr>
        <w:tc>
          <w:tcPr>
            <w:tcW w:type="dxa" w:w="1296"/>
            <w:vAlign w:val="center"/>
            <w:shd w:fill="F5F7FA"/>
          </w:tcPr>
          <w:p>
            <w:pPr>
              <w:spacing w:after="40"/>
            </w:pPr>
            <w:r/>
            <w:r>
              <w:rPr>
                <w:b w:val="0"/>
                <w:sz w:val="19"/>
              </w:rPr>
              <w:t>4e56c37</w:t>
            </w:r>
          </w:p>
        </w:tc>
        <w:tc>
          <w:tcPr>
            <w:tcW w:type="dxa" w:w="4464"/>
            <w:vAlign w:val="center"/>
            <w:shd w:fill="F5F7FA"/>
          </w:tcPr>
          <w:p>
            <w:pPr>
              <w:spacing w:after="40"/>
            </w:pPr>
            <w:r/>
            <w:r>
              <w:rPr>
                <w:b w:val="0"/>
                <w:sz w:val="19"/>
              </w:rPr>
              <w:t>Merged WhatsApp integration and workflow hardening</w:t>
            </w:r>
          </w:p>
        </w:tc>
        <w:tc>
          <w:tcPr>
            <w:tcW w:type="dxa" w:w="4032"/>
            <w:vAlign w:val="center"/>
            <w:shd w:fill="F5F7FA"/>
          </w:tcPr>
          <w:p>
            <w:pPr>
              <w:spacing w:after="40"/>
            </w:pPr>
            <w:r/>
            <w:r>
              <w:rPr>
                <w:b w:val="0"/>
                <w:sz w:val="19"/>
              </w:rPr>
              <w:t>Preserved feature-complete frontend and added WhatsApp variables</w:t>
            </w:r>
          </w:p>
        </w:tc>
      </w:tr>
      <w:tr>
        <w:tc>
          <w:tcPr>
            <w:tcW w:type="dxa" w:w="1296"/>
            <w:vAlign w:val="center"/>
          </w:tcPr>
          <w:p>
            <w:pPr>
              <w:spacing w:after="40"/>
            </w:pPr>
            <w:r/>
            <w:r>
              <w:rPr>
                <w:b w:val="0"/>
                <w:sz w:val="19"/>
              </w:rPr>
              <w:t>76a0fe2</w:t>
            </w:r>
          </w:p>
        </w:tc>
        <w:tc>
          <w:tcPr>
            <w:tcW w:type="dxa" w:w="4464"/>
            <w:vAlign w:val="center"/>
          </w:tcPr>
          <w:p>
            <w:pPr>
              <w:spacing w:after="40"/>
            </w:pPr>
            <w:r/>
            <w:r>
              <w:rPr>
                <w:b w:val="0"/>
                <w:sz w:val="19"/>
              </w:rPr>
              <w:t>Integrated ranked complaints with WhatsApp status</w:t>
            </w:r>
          </w:p>
        </w:tc>
        <w:tc>
          <w:tcPr>
            <w:tcW w:type="dxa" w:w="4032"/>
            <w:vAlign w:val="center"/>
          </w:tcPr>
          <w:p>
            <w:pPr>
              <w:spacing w:after="40"/>
            </w:pPr>
            <w:r/>
            <w:r>
              <w:rPr>
                <w:b w:val="0"/>
                <w:sz w:val="19"/>
              </w:rPr>
              <w:t>Backend type checks and tests passed</w:t>
            </w:r>
          </w:p>
        </w:tc>
      </w:tr>
      <w:tr>
        <w:tc>
          <w:tcPr>
            <w:tcW w:type="dxa" w:w="1296"/>
            <w:vAlign w:val="center"/>
            <w:shd w:fill="F5F7FA"/>
          </w:tcPr>
          <w:p>
            <w:pPr>
              <w:spacing w:after="40"/>
            </w:pPr>
            <w:r/>
            <w:r>
              <w:rPr>
                <w:b w:val="0"/>
                <w:sz w:val="19"/>
              </w:rPr>
              <w:t>d6d51eb</w:t>
            </w:r>
          </w:p>
        </w:tc>
        <w:tc>
          <w:tcPr>
            <w:tcW w:type="dxa" w:w="4464"/>
            <w:vAlign w:val="center"/>
            <w:shd w:fill="F5F7FA"/>
          </w:tcPr>
          <w:p>
            <w:pPr>
              <w:spacing w:after="40"/>
            </w:pPr>
            <w:r/>
            <w:r>
              <w:rPr>
                <w:b w:val="0"/>
                <w:sz w:val="19"/>
              </w:rPr>
              <w:t>Connected staff triage actions to backend</w:t>
            </w:r>
          </w:p>
        </w:tc>
        <w:tc>
          <w:tcPr>
            <w:tcW w:type="dxa" w:w="4032"/>
            <w:vAlign w:val="center"/>
            <w:shd w:fill="F5F7FA"/>
          </w:tcPr>
          <w:p>
            <w:pPr>
              <w:spacing w:after="40"/>
            </w:pPr>
            <w:r/>
            <w:r>
              <w:rPr>
                <w:b w:val="0"/>
                <w:sz w:val="19"/>
              </w:rPr>
              <w:t>Current fix pushed to main for deployment</w:t>
            </w:r>
          </w:p>
        </w:tc>
      </w:tr>
    </w:tbl>
    <w:p>
      <w:pPr>
        <w:spacing w:after="40"/>
      </w:pPr>
    </w:p>
    <w:p>
      <w:r>
        <w:t>The working branch is main and the final integration commit was pushed to origin/main.</w:t>
      </w:r>
    </w:p>
    <w:p>
      <w:pPr>
        <w:pStyle w:val="Heading1"/>
      </w:pPr>
      <w:r>
        <w:t>Regional issue upvoting</w:t>
      </w:r>
    </w:p>
    <w:p>
      <w:r>
        <w:t>Implemented the citizen crowd-endorsement flow for existing open complaints:</w:t>
      </w:r>
    </w:p>
    <w:p>
      <w:pPr>
        <w:pStyle w:val="ListBullet"/>
      </w:pPr>
      <w:r>
        <w:t>Complaint support records are counted through an aggregated upvote count.</w:t>
      </w:r>
    </w:p>
    <w:p>
      <w:pPr>
        <w:pStyle w:val="ListBullet"/>
      </w:pPr>
      <w:r>
        <w:t>The support endpoint toggles a citizen endorsement on and off and records the change atomically with an audit event.</w:t>
      </w:r>
    </w:p>
    <w:p>
      <w:pPr>
        <w:pStyle w:val="ListBullet"/>
      </w:pPr>
      <w:r>
        <w:t>Nearby open complaints can be retrieved through /api/v1/complaints/trending-nearby using latitude, longitude, and radius_meters.</w:t>
      </w:r>
    </w:p>
    <w:p>
      <w:pPr>
        <w:pStyle w:val="ListBullet"/>
      </w:pPr>
      <w:r>
        <w:t>The citizen portal displays Popular Issues Near You with an optimistic upvote interaction and resolution-update message.</w:t>
      </w:r>
    </w:p>
    <w:p>
      <w:pPr>
        <w:pStyle w:val="Heading1"/>
      </w:pPr>
      <w:r>
        <w:t>Dynamic priority queue</w:t>
      </w:r>
    </w:p>
    <w:p>
      <w:r>
        <w:t>Staff queues now use a composite ranking that combines severity, endorsements, and SLA urgency:</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c>
          <w:tcPr>
            <w:tcW w:type="dxa" w:w="3168"/>
            <w:vAlign w:val="center"/>
            <w:shd w:fill="17365D"/>
          </w:tcPr>
          <w:p>
            <w:pPr>
              <w:spacing w:after="40"/>
            </w:pPr>
            <w:r/>
            <w:r>
              <w:rPr>
                <w:b/>
                <w:color w:val="FFFFFF"/>
                <w:sz w:val="19"/>
              </w:rPr>
              <w:t>Priority input</w:t>
            </w:r>
          </w:p>
        </w:tc>
        <w:tc>
          <w:tcPr>
            <w:tcW w:type="dxa" w:w="6624"/>
            <w:vAlign w:val="center"/>
            <w:shd w:fill="17365D"/>
          </w:tcPr>
          <w:p>
            <w:pPr>
              <w:spacing w:after="40"/>
            </w:pPr>
            <w:r/>
            <w:r>
              <w:rPr>
                <w:b/>
                <w:color w:val="FFFFFF"/>
                <w:sz w:val="19"/>
              </w:rPr>
              <w:t>Weight or behavior</w:t>
            </w:r>
          </w:p>
        </w:tc>
      </w:tr>
      <w:tr>
        <w:tc>
          <w:tcPr>
            <w:tcW w:type="dxa" w:w="3168"/>
            <w:vAlign w:val="center"/>
          </w:tcPr>
          <w:p>
            <w:pPr>
              <w:spacing w:after="40"/>
            </w:pPr>
            <w:r/>
            <w:r>
              <w:rPr>
                <w:b w:val="0"/>
                <w:sz w:val="19"/>
              </w:rPr>
              <w:t>Critical</w:t>
            </w:r>
          </w:p>
        </w:tc>
        <w:tc>
          <w:tcPr>
            <w:tcW w:type="dxa" w:w="6624"/>
            <w:vAlign w:val="center"/>
          </w:tcPr>
          <w:p>
            <w:pPr>
              <w:spacing w:after="40"/>
            </w:pPr>
            <w:r/>
            <w:r>
              <w:rPr>
                <w:b w:val="0"/>
                <w:sz w:val="19"/>
              </w:rPr>
              <w:t>40,000</w:t>
            </w:r>
          </w:p>
        </w:tc>
      </w:tr>
      <w:tr>
        <w:tc>
          <w:tcPr>
            <w:tcW w:type="dxa" w:w="3168"/>
            <w:vAlign w:val="center"/>
            <w:shd w:fill="F5F7FA"/>
          </w:tcPr>
          <w:p>
            <w:pPr>
              <w:spacing w:after="40"/>
            </w:pPr>
            <w:r/>
            <w:r>
              <w:rPr>
                <w:b w:val="0"/>
                <w:sz w:val="19"/>
              </w:rPr>
              <w:t>High</w:t>
            </w:r>
          </w:p>
        </w:tc>
        <w:tc>
          <w:tcPr>
            <w:tcW w:type="dxa" w:w="6624"/>
            <w:vAlign w:val="center"/>
            <w:shd w:fill="F5F7FA"/>
          </w:tcPr>
          <w:p>
            <w:pPr>
              <w:spacing w:after="40"/>
            </w:pPr>
            <w:r/>
            <w:r>
              <w:rPr>
                <w:b w:val="0"/>
                <w:sz w:val="19"/>
              </w:rPr>
              <w:t>20,000</w:t>
            </w:r>
          </w:p>
        </w:tc>
      </w:tr>
      <w:tr>
        <w:tc>
          <w:tcPr>
            <w:tcW w:type="dxa" w:w="3168"/>
            <w:vAlign w:val="center"/>
          </w:tcPr>
          <w:p>
            <w:pPr>
              <w:spacing w:after="40"/>
            </w:pPr>
            <w:r/>
            <w:r>
              <w:rPr>
                <w:b w:val="0"/>
                <w:sz w:val="19"/>
              </w:rPr>
              <w:t>Medium</w:t>
            </w:r>
          </w:p>
        </w:tc>
        <w:tc>
          <w:tcPr>
            <w:tcW w:type="dxa" w:w="6624"/>
            <w:vAlign w:val="center"/>
          </w:tcPr>
          <w:p>
            <w:pPr>
              <w:spacing w:after="40"/>
            </w:pPr>
            <w:r/>
            <w:r>
              <w:rPr>
                <w:b w:val="0"/>
                <w:sz w:val="19"/>
              </w:rPr>
              <w:t>10,000</w:t>
            </w:r>
          </w:p>
        </w:tc>
      </w:tr>
      <w:tr>
        <w:tc>
          <w:tcPr>
            <w:tcW w:type="dxa" w:w="3168"/>
            <w:vAlign w:val="center"/>
            <w:shd w:fill="F5F7FA"/>
          </w:tcPr>
          <w:p>
            <w:pPr>
              <w:spacing w:after="40"/>
            </w:pPr>
            <w:r/>
            <w:r>
              <w:rPr>
                <w:b w:val="0"/>
                <w:sz w:val="19"/>
              </w:rPr>
              <w:t>Low</w:t>
            </w:r>
          </w:p>
        </w:tc>
        <w:tc>
          <w:tcPr>
            <w:tcW w:type="dxa" w:w="6624"/>
            <w:vAlign w:val="center"/>
            <w:shd w:fill="F5F7FA"/>
          </w:tcPr>
          <w:p>
            <w:pPr>
              <w:spacing w:after="40"/>
            </w:pPr>
            <w:r/>
            <w:r>
              <w:rPr>
                <w:b w:val="0"/>
                <w:sz w:val="19"/>
              </w:rPr>
              <w:t>0</w:t>
            </w:r>
          </w:p>
        </w:tc>
      </w:tr>
      <w:tr>
        <w:tc>
          <w:tcPr>
            <w:tcW w:type="dxa" w:w="3168"/>
            <w:vAlign w:val="center"/>
          </w:tcPr>
          <w:p>
            <w:pPr>
              <w:spacing w:after="40"/>
            </w:pPr>
            <w:r/>
            <w:r>
              <w:rPr>
                <w:b w:val="0"/>
                <w:sz w:val="19"/>
              </w:rPr>
              <w:t>Upvotes</w:t>
            </w:r>
          </w:p>
        </w:tc>
        <w:tc>
          <w:tcPr>
            <w:tcW w:type="dxa" w:w="6624"/>
            <w:vAlign w:val="center"/>
          </w:tcPr>
          <w:p>
            <w:pPr>
              <w:spacing w:after="40"/>
            </w:pPr>
            <w:r/>
            <w:r>
              <w:rPr>
                <w:b w:val="0"/>
                <w:sz w:val="19"/>
              </w:rPr>
              <w:t>25 points per upvote</w:t>
            </w:r>
          </w:p>
        </w:tc>
      </w:tr>
      <w:tr>
        <w:tc>
          <w:tcPr>
            <w:tcW w:type="dxa" w:w="3168"/>
            <w:vAlign w:val="center"/>
            <w:shd w:fill="F5F7FA"/>
          </w:tcPr>
          <w:p>
            <w:pPr>
              <w:spacing w:after="40"/>
            </w:pPr>
            <w:r/>
            <w:r>
              <w:rPr>
                <w:b w:val="0"/>
                <w:sz w:val="19"/>
              </w:rPr>
              <w:t>SLA urgency</w:t>
            </w:r>
          </w:p>
        </w:tc>
        <w:tc>
          <w:tcPr>
            <w:tcW w:type="dxa" w:w="6624"/>
            <w:vAlign w:val="center"/>
            <w:shd w:fill="F5F7FA"/>
          </w:tcPr>
          <w:p>
            <w:pPr>
              <w:spacing w:after="40"/>
            </w:pPr>
            <w:r/>
            <w:r>
              <w:rPr>
                <w:b w:val="0"/>
                <w:sz w:val="19"/>
              </w:rPr>
              <w:t>Calculated from the complaint deadline and urgency band</w:t>
            </w:r>
          </w:p>
        </w:tc>
      </w:tr>
    </w:tbl>
    <w:p>
      <w:pPr>
        <w:spacing w:after="40"/>
      </w:pPr>
    </w:p>
    <w:p>
      <w:r>
        <w:t>Queues order by composite score descending and creation time ascending. Filters support ward, ward number, department, department name, status, and sorting by priority score, upvotes, or recency. Staff cards show priority band, affected-citizen count, and an SLA countdown.</w:t>
      </w:r>
    </w:p>
    <w:p>
      <w:pPr>
        <w:pStyle w:val="Heading1"/>
      </w:pPr>
      <w:r>
        <w:t>Staff action integration</w:t>
      </w:r>
    </w:p>
    <w:p>
      <w:r>
        <w:t>The previous demonstration-only toast was caused by a frontend fallback in civic-api.ts. That fallback has been replaced for the staff triage actions: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c>
          <w:tcPr>
            <w:tcW w:type="dxa" w:w="3456"/>
            <w:vAlign w:val="center"/>
            <w:shd w:fill="17365D"/>
          </w:tcPr>
          <w:p>
            <w:pPr>
              <w:spacing w:after="40"/>
            </w:pPr>
            <w:r/>
            <w:r>
              <w:rPr>
                <w:b/>
                <w:color w:val="FFFFFF"/>
                <w:sz w:val="19"/>
              </w:rPr>
              <w:t>Frontend action</w:t>
            </w:r>
          </w:p>
        </w:tc>
        <w:tc>
          <w:tcPr>
            <w:tcW w:type="dxa" w:w="6336"/>
            <w:vAlign w:val="center"/>
            <w:shd w:fill="17365D"/>
          </w:tcPr>
          <w:p>
            <w:pPr>
              <w:spacing w:after="40"/>
            </w:pPr>
            <w:r/>
            <w:r>
              <w:rPr>
                <w:b/>
                <w:color w:val="FFFFFF"/>
                <w:sz w:val="19"/>
              </w:rPr>
              <w:t>Live backend request</w:t>
            </w:r>
          </w:p>
        </w:tc>
      </w:tr>
      <w:tr>
        <w:tc>
          <w:tcPr>
            <w:tcW w:type="dxa" w:w="3456"/>
            <w:vAlign w:val="center"/>
          </w:tcPr>
          <w:p>
            <w:pPr>
              <w:spacing w:after="40"/>
            </w:pPr>
            <w:r/>
            <w:r>
              <w:rPr>
                <w:b w:val="0"/>
                <w:sz w:val="19"/>
              </w:rPr>
              <w:t>Accept department routing</w:t>
            </w:r>
          </w:p>
        </w:tc>
        <w:tc>
          <w:tcPr>
            <w:tcW w:type="dxa" w:w="6336"/>
            <w:vAlign w:val="center"/>
          </w:tcPr>
          <w:p>
            <w:pPr>
              <w:spacing w:after="40"/>
            </w:pPr>
            <w:r/>
            <w:r>
              <w:rPr>
                <w:b w:val="0"/>
                <w:sz w:val="19"/>
              </w:rPr>
              <w:t>POST /api/v1/complaints/{id}/routing/accept</w:t>
            </w:r>
          </w:p>
        </w:tc>
      </w:tr>
      <w:tr>
        <w:tc>
          <w:tcPr>
            <w:tcW w:type="dxa" w:w="3456"/>
            <w:vAlign w:val="center"/>
            <w:shd w:fill="F5F7FA"/>
          </w:tcPr>
          <w:p>
            <w:pPr>
              <w:spacing w:after="40"/>
            </w:pPr>
            <w:r/>
            <w:r>
              <w:rPr>
                <w:b w:val="0"/>
                <w:sz w:val="19"/>
              </w:rPr>
              <w:t>Override department routing</w:t>
            </w:r>
          </w:p>
        </w:tc>
        <w:tc>
          <w:tcPr>
            <w:tcW w:type="dxa" w:w="6336"/>
            <w:vAlign w:val="center"/>
            <w:shd w:fill="F5F7FA"/>
          </w:tcPr>
          <w:p>
            <w:pPr>
              <w:spacing w:after="40"/>
            </w:pPr>
            <w:r/>
            <w:r>
              <w:rPr>
                <w:b w:val="0"/>
                <w:sz w:val="19"/>
              </w:rPr>
              <w:t>POST /api/v1/complaints/{id}/routing/override</w:t>
            </w:r>
          </w:p>
        </w:tc>
      </w:tr>
      <w:tr>
        <w:tc>
          <w:tcPr>
            <w:tcW w:type="dxa" w:w="3456"/>
            <w:vAlign w:val="center"/>
          </w:tcPr>
          <w:p>
            <w:pPr>
              <w:spacing w:after="40"/>
            </w:pPr>
            <w:r/>
            <w:r>
              <w:rPr>
                <w:b w:val="0"/>
                <w:sz w:val="19"/>
              </w:rPr>
              <w:t>Reject department routing</w:t>
            </w:r>
          </w:p>
        </w:tc>
        <w:tc>
          <w:tcPr>
            <w:tcW w:type="dxa" w:w="6336"/>
            <w:vAlign w:val="center"/>
          </w:tcPr>
          <w:p>
            <w:pPr>
              <w:spacing w:after="40"/>
            </w:pPr>
            <w:r/>
            <w:r>
              <w:rPr>
                <w:b w:val="0"/>
                <w:sz w:val="19"/>
              </w:rPr>
              <w:t>POST /api/v1/complaints/{id}/routing/reject</w:t>
            </w:r>
          </w:p>
        </w:tc>
      </w:tr>
      <w:tr>
        <w:tc>
          <w:tcPr>
            <w:tcW w:type="dxa" w:w="3456"/>
            <w:vAlign w:val="center"/>
            <w:shd w:fill="F5F7FA"/>
          </w:tcPr>
          <w:p>
            <w:pPr>
              <w:spacing w:after="40"/>
            </w:pPr>
            <w:r/>
            <w:r>
              <w:rPr>
                <w:b w:val="0"/>
                <w:sz w:val="19"/>
              </w:rPr>
              <w:t>Accept priority</w:t>
            </w:r>
          </w:p>
        </w:tc>
        <w:tc>
          <w:tcPr>
            <w:tcW w:type="dxa" w:w="6336"/>
            <w:vAlign w:val="center"/>
            <w:shd w:fill="F5F7FA"/>
          </w:tcPr>
          <w:p>
            <w:pPr>
              <w:spacing w:after="40"/>
            </w:pPr>
            <w:r/>
            <w:r>
              <w:rPr>
                <w:b w:val="0"/>
                <w:sz w:val="19"/>
              </w:rPr>
              <w:t>POST /api/v1/complaints/{id}/priority/accept</w:t>
            </w:r>
          </w:p>
        </w:tc>
      </w:tr>
      <w:tr>
        <w:tc>
          <w:tcPr>
            <w:tcW w:type="dxa" w:w="3456"/>
            <w:vAlign w:val="center"/>
          </w:tcPr>
          <w:p>
            <w:pPr>
              <w:spacing w:after="40"/>
            </w:pPr>
            <w:r/>
            <w:r>
              <w:rPr>
                <w:b w:val="0"/>
                <w:sz w:val="19"/>
              </w:rPr>
              <w:t>Override priority</w:t>
            </w:r>
          </w:p>
        </w:tc>
        <w:tc>
          <w:tcPr>
            <w:tcW w:type="dxa" w:w="6336"/>
            <w:vAlign w:val="center"/>
          </w:tcPr>
          <w:p>
            <w:pPr>
              <w:spacing w:after="40"/>
            </w:pPr>
            <w:r/>
            <w:r>
              <w:rPr>
                <w:b w:val="0"/>
                <w:sz w:val="19"/>
              </w:rPr>
              <w:t>POST /api/v1/complaints/{id}/priority/override</w:t>
            </w:r>
          </w:p>
        </w:tc>
      </w:tr>
      <w:tr>
        <w:tc>
          <w:tcPr>
            <w:tcW w:type="dxa" w:w="3456"/>
            <w:vAlign w:val="center"/>
            <w:shd w:fill="F5F7FA"/>
          </w:tcPr>
          <w:p>
            <w:pPr>
              <w:spacing w:after="40"/>
            </w:pPr>
            <w:r/>
            <w:r>
              <w:rPr>
                <w:b w:val="0"/>
                <w:sz w:val="19"/>
              </w:rPr>
              <w:t>Reject priority</w:t>
            </w:r>
          </w:p>
        </w:tc>
        <w:tc>
          <w:tcPr>
            <w:tcW w:type="dxa" w:w="6336"/>
            <w:vAlign w:val="center"/>
            <w:shd w:fill="F5F7FA"/>
          </w:tcPr>
          <w:p>
            <w:pPr>
              <w:spacing w:after="40"/>
            </w:pPr>
            <w:r/>
            <w:r>
              <w:rPr>
                <w:b w:val="0"/>
                <w:sz w:val="19"/>
              </w:rPr>
              <w:t>POST /api/v1/complaints/{id}/priority/reject</w:t>
            </w:r>
          </w:p>
        </w:tc>
      </w:tr>
      <w:tr>
        <w:tc>
          <w:tcPr>
            <w:tcW w:type="dxa" w:w="3456"/>
            <w:vAlign w:val="center"/>
          </w:tcPr>
          <w:p>
            <w:pPr>
              <w:spacing w:after="40"/>
            </w:pPr>
            <w:r/>
            <w:r>
              <w:rPr>
                <w:b w:val="0"/>
                <w:sz w:val="19"/>
              </w:rPr>
              <w:t>Manual triage</w:t>
            </w:r>
          </w:p>
        </w:tc>
        <w:tc>
          <w:tcPr>
            <w:tcW w:type="dxa" w:w="6336"/>
            <w:vAlign w:val="center"/>
          </w:tcPr>
          <w:p>
            <w:pPr>
              <w:spacing w:after="40"/>
            </w:pPr>
            <w:r/>
            <w:r>
              <w:rPr>
                <w:b w:val="0"/>
                <w:sz w:val="19"/>
              </w:rPr>
              <w:t>POST /api/v1/triage/manual/{id}</w:t>
            </w:r>
          </w:p>
        </w:tc>
      </w:tr>
      <w:tr>
        <w:tc>
          <w:tcPr>
            <w:tcW w:type="dxa" w:w="3456"/>
            <w:vAlign w:val="center"/>
            <w:shd w:fill="F5F7FA"/>
          </w:tcPr>
          <w:p>
            <w:pPr>
              <w:spacing w:after="40"/>
            </w:pPr>
            <w:r/>
            <w:r>
              <w:rPr>
                <w:b w:val="0"/>
                <w:sz w:val="19"/>
              </w:rPr>
              <w:t>Department selector</w:t>
            </w:r>
          </w:p>
        </w:tc>
        <w:tc>
          <w:tcPr>
            <w:tcW w:type="dxa" w:w="6336"/>
            <w:vAlign w:val="center"/>
            <w:shd w:fill="F5F7FA"/>
          </w:tcPr>
          <w:p>
            <w:pPr>
              <w:spacing w:after="40"/>
            </w:pPr>
            <w:r/>
            <w:r>
              <w:rPr>
                <w:b w:val="0"/>
                <w:sz w:val="19"/>
              </w:rPr>
              <w:t>GET /api/v1/users/departments</w:t>
            </w:r>
          </w:p>
        </w:tc>
      </w:tr>
    </w:tbl>
    <w:p>
      <w:pPr>
        <w:spacing w:after="40"/>
      </w:pPr>
    </w:p>
    <w:p>
      <w:r>
        <w:t>Override and reject actions enforce the backend’s required reason fields. Manual triage sends a valid department UUID, category, priority band, and officer notes.</w:t>
      </w:r>
    </w:p>
    <w:p>
      <w:pPr>
        <w:pStyle w:val="Heading1"/>
      </w:pPr>
      <w:r>
        <w:t>Deployment and environment configuration</w:t>
      </w:r>
    </w:p>
    <w:p>
      <w:r>
        <w:t>The backend is deployed on Render and the frontend is deployed on Vercel. The Render Blueprint includes the web service, PostgreSQL database, and Valkey cache.</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c>
          <w:tcPr>
            <w:tcW w:type="dxa" w:w="3024"/>
            <w:vAlign w:val="center"/>
            <w:shd w:fill="17365D"/>
          </w:tcPr>
          <w:p>
            <w:pPr>
              <w:spacing w:after="40"/>
            </w:pPr>
            <w:r/>
            <w:r>
              <w:rPr>
                <w:b/>
                <w:color w:val="FFFFFF"/>
                <w:sz w:val="19"/>
              </w:rPr>
              <w:t>Resource</w:t>
            </w:r>
          </w:p>
        </w:tc>
        <w:tc>
          <w:tcPr>
            <w:tcW w:type="dxa" w:w="6768"/>
            <w:vAlign w:val="center"/>
            <w:shd w:fill="17365D"/>
          </w:tcPr>
          <w:p>
            <w:pPr>
              <w:spacing w:after="40"/>
            </w:pPr>
            <w:r/>
            <w:r>
              <w:rPr>
                <w:b/>
                <w:color w:val="FFFFFF"/>
                <w:sz w:val="19"/>
              </w:rPr>
              <w:t>Production location or value</w:t>
            </w:r>
          </w:p>
        </w:tc>
      </w:tr>
      <w:tr>
        <w:tc>
          <w:tcPr>
            <w:tcW w:type="dxa" w:w="3024"/>
            <w:vAlign w:val="center"/>
          </w:tcPr>
          <w:p>
            <w:pPr>
              <w:spacing w:after="40"/>
            </w:pPr>
            <w:r/>
            <w:r>
              <w:rPr>
                <w:b w:val="0"/>
                <w:sz w:val="19"/>
              </w:rPr>
              <w:t>Frontend</w:t>
            </w:r>
          </w:p>
        </w:tc>
        <w:tc>
          <w:tcPr>
            <w:tcW w:type="dxa" w:w="6768"/>
            <w:vAlign w:val="center"/>
          </w:tcPr>
          <w:p>
            <w:pPr>
              <w:spacing w:after="40"/>
            </w:pPr>
            <w:r/>
            <w:r>
              <w:rPr>
                <w:b w:val="0"/>
                <w:sz w:val="19"/>
              </w:rPr>
              <w:t>https://smart-governance-woad.vercel.app</w:t>
            </w:r>
          </w:p>
        </w:tc>
      </w:tr>
      <w:tr>
        <w:tc>
          <w:tcPr>
            <w:tcW w:type="dxa" w:w="3024"/>
            <w:vAlign w:val="center"/>
            <w:shd w:fill="F5F7FA"/>
          </w:tcPr>
          <w:p>
            <w:pPr>
              <w:spacing w:after="40"/>
            </w:pPr>
            <w:r/>
            <w:r>
              <w:rPr>
                <w:b w:val="0"/>
                <w:sz w:val="19"/>
              </w:rPr>
              <w:t>Backend</w:t>
            </w:r>
          </w:p>
        </w:tc>
        <w:tc>
          <w:tcPr>
            <w:tcW w:type="dxa" w:w="6768"/>
            <w:vAlign w:val="center"/>
            <w:shd w:fill="F5F7FA"/>
          </w:tcPr>
          <w:p>
            <w:pPr>
              <w:spacing w:after="40"/>
            </w:pPr>
            <w:r/>
            <w:r>
              <w:rPr>
                <w:b w:val="0"/>
                <w:sz w:val="19"/>
              </w:rPr>
              <w:t>https://smart-governance-ai-synergy-api.onrender.com</w:t>
            </w:r>
          </w:p>
        </w:tc>
      </w:tr>
      <w:tr>
        <w:tc>
          <w:tcPr>
            <w:tcW w:type="dxa" w:w="3024"/>
            <w:vAlign w:val="center"/>
          </w:tcPr>
          <w:p>
            <w:pPr>
              <w:spacing w:after="40"/>
            </w:pPr>
            <w:r/>
            <w:r>
              <w:rPr>
                <w:b w:val="0"/>
                <w:sz w:val="19"/>
              </w:rPr>
              <w:t>Database</w:t>
            </w:r>
          </w:p>
        </w:tc>
        <w:tc>
          <w:tcPr>
            <w:tcW w:type="dxa" w:w="6768"/>
            <w:vAlign w:val="center"/>
          </w:tcPr>
          <w:p>
            <w:pPr>
              <w:spacing w:after="40"/>
            </w:pPr>
            <w:r/>
            <w:r>
              <w:rPr>
                <w:b w:val="0"/>
                <w:sz w:val="19"/>
              </w:rPr>
              <w:t>Render PostgreSQL: smart-governance-db</w:t>
            </w:r>
          </w:p>
        </w:tc>
      </w:tr>
      <w:tr>
        <w:tc>
          <w:tcPr>
            <w:tcW w:type="dxa" w:w="3024"/>
            <w:vAlign w:val="center"/>
            <w:shd w:fill="F5F7FA"/>
          </w:tcPr>
          <w:p>
            <w:pPr>
              <w:spacing w:after="40"/>
            </w:pPr>
            <w:r/>
            <w:r>
              <w:rPr>
                <w:b w:val="0"/>
                <w:sz w:val="19"/>
              </w:rPr>
              <w:t>Cache</w:t>
            </w:r>
          </w:p>
        </w:tc>
        <w:tc>
          <w:tcPr>
            <w:tcW w:type="dxa" w:w="6768"/>
            <w:vAlign w:val="center"/>
            <w:shd w:fill="F5F7FA"/>
          </w:tcPr>
          <w:p>
            <w:pPr>
              <w:spacing w:after="40"/>
            </w:pPr>
            <w:r/>
            <w:r>
              <w:rPr>
                <w:b w:val="0"/>
                <w:sz w:val="19"/>
              </w:rPr>
              <w:t>Render Valkey: smart-governance-cache</w:t>
            </w:r>
          </w:p>
        </w:tc>
      </w:tr>
      <w:tr>
        <w:tc>
          <w:tcPr>
            <w:tcW w:type="dxa" w:w="3024"/>
            <w:vAlign w:val="center"/>
          </w:tcPr>
          <w:p>
            <w:pPr>
              <w:spacing w:after="40"/>
            </w:pPr>
            <w:r/>
            <w:r>
              <w:rPr>
                <w:b w:val="0"/>
                <w:sz w:val="19"/>
              </w:rPr>
              <w:t>CORS_ORIGINS</w:t>
            </w:r>
          </w:p>
        </w:tc>
        <w:tc>
          <w:tcPr>
            <w:tcW w:type="dxa" w:w="6768"/>
            <w:vAlign w:val="center"/>
          </w:tcPr>
          <w:p>
            <w:pPr>
              <w:spacing w:after="40"/>
            </w:pPr>
            <w:r/>
            <w:r>
              <w:rPr>
                <w:b w:val="0"/>
                <w:sz w:val="19"/>
              </w:rPr>
              <w:t>https://smart-governance-woad.vercel.app</w:t>
            </w:r>
          </w:p>
        </w:tc>
      </w:tr>
      <w:tr>
        <w:tc>
          <w:tcPr>
            <w:tcW w:type="dxa" w:w="3024"/>
            <w:vAlign w:val="center"/>
            <w:shd w:fill="F5F7FA"/>
          </w:tcPr>
          <w:p>
            <w:pPr>
              <w:spacing w:after="40"/>
            </w:pPr>
            <w:r/>
            <w:r>
              <w:rPr>
                <w:b w:val="0"/>
                <w:sz w:val="19"/>
              </w:rPr>
              <w:t>JWT_ALGORITHM</w:t>
            </w:r>
          </w:p>
        </w:tc>
        <w:tc>
          <w:tcPr>
            <w:tcW w:type="dxa" w:w="6768"/>
            <w:vAlign w:val="center"/>
            <w:shd w:fill="F5F7FA"/>
          </w:tcPr>
          <w:p>
            <w:pPr>
              <w:spacing w:after="40"/>
            </w:pPr>
            <w:r/>
            <w:r>
              <w:rPr>
                <w:b w:val="0"/>
                <w:sz w:val="19"/>
              </w:rPr>
              <w:t>HS256; corrected from the supplied KS256 typo</w:t>
            </w:r>
          </w:p>
        </w:tc>
      </w:tr>
      <w:tr>
        <w:tc>
          <w:tcPr>
            <w:tcW w:type="dxa" w:w="3024"/>
            <w:vAlign w:val="center"/>
          </w:tcPr>
          <w:p>
            <w:pPr>
              <w:spacing w:after="40"/>
            </w:pPr>
            <w:r/>
            <w:r>
              <w:rPr>
                <w:b w:val="0"/>
                <w:sz w:val="19"/>
              </w:rPr>
              <w:t>AI provider</w:t>
            </w:r>
          </w:p>
        </w:tc>
        <w:tc>
          <w:tcPr>
            <w:tcW w:type="dxa" w:w="6768"/>
            <w:vAlign w:val="center"/>
          </w:tcPr>
          <w:p>
            <w:pPr>
              <w:spacing w:after="40"/>
            </w:pPr>
            <w:r/>
            <w:r>
              <w:rPr>
                <w:b w:val="0"/>
                <w:sz w:val="19"/>
              </w:rPr>
              <w:t>Gemini, because a Gemini credential was supplied</w:t>
            </w:r>
          </w:p>
        </w:tc>
      </w:tr>
    </w:tbl>
    <w:p>
      <w:pPr>
        <w:spacing w:after="40"/>
      </w:pPr>
    </w:p>
    <w:p>
      <w:r>
        <w:t>The Render web service has DATABASE_URL linked to the Render PostgreSQL resource. The WhatsApp verify token is configured; live outbound WhatsApp messaging still requires a Meta access token and phone number ID.</w:t>
      </w:r>
    </w:p>
    <w:p>
      <w:pPr>
        <w:pStyle w:val="Heading1"/>
      </w:pPr>
      <w:r>
        <w:t>Seed data and demo access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2448"/>
            <w:vAlign w:val="center"/>
            <w:shd w:fill="17365D"/>
          </w:tcPr>
          <w:p>
            <w:pPr>
              <w:spacing w:after="40"/>
            </w:pPr>
            <w:r/>
            <w:r>
              <w:rPr>
                <w:b/>
                <w:color w:val="FFFFFF"/>
                <w:sz w:val="19"/>
              </w:rPr>
              <w:t>Role</w:t>
            </w:r>
          </w:p>
        </w:tc>
        <w:tc>
          <w:tcPr>
            <w:tcW w:type="dxa" w:w="3888"/>
            <w:vAlign w:val="center"/>
            <w:shd w:fill="17365D"/>
          </w:tcPr>
          <w:p>
            <w:pPr>
              <w:spacing w:after="40"/>
            </w:pPr>
            <w:r/>
            <w:r>
              <w:rPr>
                <w:b/>
                <w:color w:val="FFFFFF"/>
                <w:sz w:val="19"/>
              </w:rPr>
              <w:t>Email</w:t>
            </w:r>
          </w:p>
        </w:tc>
        <w:tc>
          <w:tcPr>
            <w:tcW w:type="dxa" w:w="3456"/>
            <w:vAlign w:val="center"/>
            <w:shd w:fill="17365D"/>
          </w:tcPr>
          <w:p>
            <w:pPr>
              <w:spacing w:after="40"/>
            </w:pPr>
            <w:r/>
            <w:r>
              <w:rPr>
                <w:b/>
                <w:color w:val="FFFFFF"/>
                <w:sz w:val="19"/>
              </w:rPr>
              <w:t>Password</w:t>
            </w:r>
          </w:p>
        </w:tc>
      </w:tr>
      <w:tr>
        <w:tc>
          <w:tcPr>
            <w:tcW w:type="dxa" w:w="2448"/>
            <w:vAlign w:val="center"/>
          </w:tcPr>
          <w:p>
            <w:pPr>
              <w:spacing w:after="40"/>
            </w:pPr>
            <w:r/>
            <w:r>
              <w:rPr>
                <w:b w:val="0"/>
                <w:sz w:val="19"/>
              </w:rPr>
              <w:t>Citizen</w:t>
            </w:r>
          </w:p>
        </w:tc>
        <w:tc>
          <w:tcPr>
            <w:tcW w:type="dxa" w:w="3888"/>
            <w:vAlign w:val="center"/>
          </w:tcPr>
          <w:p>
            <w:pPr>
              <w:spacing w:after="40"/>
            </w:pPr>
            <w:r/>
            <w:r>
              <w:rPr>
                <w:b w:val="0"/>
                <w:sz w:val="19"/>
              </w:rPr>
              <w:t>citizen@example.com</w:t>
            </w:r>
          </w:p>
        </w:tc>
        <w:tc>
          <w:tcPr>
            <w:tcW w:type="dxa" w:w="3456"/>
            <w:vAlign w:val="center"/>
          </w:tcPr>
          <w:p>
            <w:pPr>
              <w:spacing w:after="40"/>
            </w:pPr>
            <w:r/>
            <w:r>
              <w:rPr>
                <w:b w:val="0"/>
                <w:sz w:val="19"/>
              </w:rPr>
              <w:t>CitizenDemo123!</w:t>
            </w:r>
          </w:p>
        </w:tc>
      </w:tr>
      <w:tr>
        <w:tc>
          <w:tcPr>
            <w:tcW w:type="dxa" w:w="2448"/>
            <w:vAlign w:val="center"/>
            <w:shd w:fill="F5F7FA"/>
          </w:tcPr>
          <w:p>
            <w:pPr>
              <w:spacing w:after="40"/>
            </w:pPr>
            <w:r/>
            <w:r>
              <w:rPr>
                <w:b w:val="0"/>
                <w:sz w:val="19"/>
              </w:rPr>
              <w:t>Officer</w:t>
            </w:r>
          </w:p>
        </w:tc>
        <w:tc>
          <w:tcPr>
            <w:tcW w:type="dxa" w:w="3888"/>
            <w:vAlign w:val="center"/>
            <w:shd w:fill="F5F7FA"/>
          </w:tcPr>
          <w:p>
            <w:pPr>
              <w:spacing w:after="40"/>
            </w:pPr>
            <w:r/>
            <w:r>
              <w:rPr>
                <w:b w:val="0"/>
                <w:sz w:val="19"/>
              </w:rPr>
              <w:t>officer@example.com</w:t>
            </w:r>
          </w:p>
        </w:tc>
        <w:tc>
          <w:tcPr>
            <w:tcW w:type="dxa" w:w="3456"/>
            <w:vAlign w:val="center"/>
            <w:shd w:fill="F5F7FA"/>
          </w:tcPr>
          <w:p>
            <w:pPr>
              <w:spacing w:after="40"/>
            </w:pPr>
            <w:r/>
            <w:r>
              <w:rPr>
                <w:b w:val="0"/>
                <w:sz w:val="19"/>
              </w:rPr>
              <w:t>OfficerDemo123!</w:t>
            </w:r>
          </w:p>
        </w:tc>
      </w:tr>
      <w:tr>
        <w:tc>
          <w:tcPr>
            <w:tcW w:type="dxa" w:w="2448"/>
            <w:vAlign w:val="center"/>
          </w:tcPr>
          <w:p>
            <w:pPr>
              <w:spacing w:after="40"/>
            </w:pPr>
            <w:r/>
            <w:r>
              <w:rPr>
                <w:b w:val="0"/>
                <w:sz w:val="19"/>
              </w:rPr>
              <w:t>Department Lead</w:t>
            </w:r>
          </w:p>
        </w:tc>
        <w:tc>
          <w:tcPr>
            <w:tcW w:type="dxa" w:w="3888"/>
            <w:vAlign w:val="center"/>
          </w:tcPr>
          <w:p>
            <w:pPr>
              <w:spacing w:after="40"/>
            </w:pPr>
            <w:r/>
            <w:r>
              <w:rPr>
                <w:b w:val="0"/>
                <w:sz w:val="19"/>
              </w:rPr>
              <w:t>lead@example.com</w:t>
            </w:r>
          </w:p>
        </w:tc>
        <w:tc>
          <w:tcPr>
            <w:tcW w:type="dxa" w:w="3456"/>
            <w:vAlign w:val="center"/>
          </w:tcPr>
          <w:p>
            <w:pPr>
              <w:spacing w:after="40"/>
            </w:pPr>
            <w:r/>
            <w:r>
              <w:rPr>
                <w:b w:val="0"/>
                <w:sz w:val="19"/>
              </w:rPr>
              <w:t>LeadDemo123!</w:t>
            </w:r>
          </w:p>
        </w:tc>
      </w:tr>
      <w:tr>
        <w:tc>
          <w:tcPr>
            <w:tcW w:type="dxa" w:w="2448"/>
            <w:vAlign w:val="center"/>
            <w:shd w:fill="F5F7FA"/>
          </w:tcPr>
          <w:p>
            <w:pPr>
              <w:spacing w:after="40"/>
            </w:pPr>
            <w:r/>
            <w:r>
              <w:rPr>
                <w:b w:val="0"/>
                <w:sz w:val="19"/>
              </w:rPr>
              <w:t>Supervisor</w:t>
            </w:r>
          </w:p>
        </w:tc>
        <w:tc>
          <w:tcPr>
            <w:tcW w:type="dxa" w:w="3888"/>
            <w:vAlign w:val="center"/>
            <w:shd w:fill="F5F7FA"/>
          </w:tcPr>
          <w:p>
            <w:pPr>
              <w:spacing w:after="40"/>
            </w:pPr>
            <w:r/>
            <w:r>
              <w:rPr>
                <w:b w:val="0"/>
                <w:sz w:val="19"/>
              </w:rPr>
              <w:t>supervisor@example.com</w:t>
            </w:r>
          </w:p>
        </w:tc>
        <w:tc>
          <w:tcPr>
            <w:tcW w:type="dxa" w:w="3456"/>
            <w:vAlign w:val="center"/>
            <w:shd w:fill="F5F7FA"/>
          </w:tcPr>
          <w:p>
            <w:pPr>
              <w:spacing w:after="40"/>
            </w:pPr>
            <w:r/>
            <w:r>
              <w:rPr>
                <w:b w:val="0"/>
                <w:sz w:val="19"/>
              </w:rPr>
              <w:t>SupervisorDemo123!</w:t>
            </w:r>
          </w:p>
        </w:tc>
      </w:tr>
      <w:tr>
        <w:tc>
          <w:tcPr>
            <w:tcW w:type="dxa" w:w="2448"/>
            <w:vAlign w:val="center"/>
          </w:tcPr>
          <w:p>
            <w:pPr>
              <w:spacing w:after="40"/>
            </w:pPr>
            <w:r/>
            <w:r>
              <w:rPr>
                <w:b w:val="0"/>
                <w:sz w:val="19"/>
              </w:rPr>
              <w:t>Administrator</w:t>
            </w:r>
          </w:p>
        </w:tc>
        <w:tc>
          <w:tcPr>
            <w:tcW w:type="dxa" w:w="3888"/>
            <w:vAlign w:val="center"/>
          </w:tcPr>
          <w:p>
            <w:pPr>
              <w:spacing w:after="40"/>
            </w:pPr>
            <w:r/>
            <w:r>
              <w:rPr>
                <w:b w:val="0"/>
                <w:sz w:val="19"/>
              </w:rPr>
              <w:t>admin@example.com</w:t>
            </w:r>
          </w:p>
        </w:tc>
        <w:tc>
          <w:tcPr>
            <w:tcW w:type="dxa" w:w="3456"/>
            <w:vAlign w:val="center"/>
          </w:tcPr>
          <w:p>
            <w:pPr>
              <w:spacing w:after="40"/>
            </w:pPr>
            <w:r/>
            <w:r>
              <w:rPr>
                <w:b w:val="0"/>
                <w:sz w:val="19"/>
              </w:rPr>
              <w:t>AdminDemo123!</w:t>
            </w:r>
          </w:p>
        </w:tc>
      </w:tr>
      <w:tr>
        <w:tc>
          <w:tcPr>
            <w:tcW w:type="dxa" w:w="2448"/>
            <w:vAlign w:val="center"/>
            <w:shd w:fill="F5F7FA"/>
          </w:tcPr>
          <w:p>
            <w:pPr>
              <w:spacing w:after="40"/>
            </w:pPr>
            <w:r/>
            <w:r>
              <w:rPr>
                <w:b w:val="0"/>
                <w:sz w:val="19"/>
              </w:rPr>
              <w:t>Auditor</w:t>
            </w:r>
          </w:p>
        </w:tc>
        <w:tc>
          <w:tcPr>
            <w:tcW w:type="dxa" w:w="3888"/>
            <w:vAlign w:val="center"/>
            <w:shd w:fill="F5F7FA"/>
          </w:tcPr>
          <w:p>
            <w:pPr>
              <w:spacing w:after="40"/>
            </w:pPr>
            <w:r/>
            <w:r>
              <w:rPr>
                <w:b w:val="0"/>
                <w:sz w:val="19"/>
              </w:rPr>
              <w:t>auditor@example.com</w:t>
            </w:r>
          </w:p>
        </w:tc>
        <w:tc>
          <w:tcPr>
            <w:tcW w:type="dxa" w:w="3456"/>
            <w:vAlign w:val="center"/>
            <w:shd w:fill="F5F7FA"/>
          </w:tcPr>
          <w:p>
            <w:pPr>
              <w:spacing w:after="40"/>
            </w:pPr>
            <w:r/>
            <w:r>
              <w:rPr>
                <w:b w:val="0"/>
                <w:sz w:val="19"/>
              </w:rPr>
              <w:t>AuditorDemo123!</w:t>
            </w:r>
          </w:p>
        </w:tc>
      </w:tr>
    </w:tbl>
    <w:p>
      <w:pPr>
        <w:spacing w:after="40"/>
      </w:pPr>
    </w:p>
    <w:p>
      <w:r>
        <w:t>Eight sample complaints are available through the authenticated complaints API for checking citizen, staff, ranking, filtering, and upvote flows.</w:t>
      </w:r>
    </w:p>
    <w:p>
      <w:pPr>
        <w:pStyle w:val="Heading1"/>
      </w:pPr>
      <w:r>
        <w:t>Verification completed</w:t>
      </w:r>
    </w:p>
    <w:p>
      <w:pPr>
        <w:pStyle w:val="ListBullet"/>
      </w:pPr>
      <w:r>
        <w:t>Backend Ruff and mypy checks passed for the changed backend code.</w:t>
      </w:r>
    </w:p>
    <w:p>
      <w:pPr>
        <w:pStyle w:val="ListBullet"/>
      </w:pPr>
      <w:r>
        <w:t>Backend integration tests passed, including the cases and activity suite.</w:t>
      </w:r>
    </w:p>
    <w:p>
      <w:pPr>
        <w:pStyle w:val="ListBullet"/>
      </w:pPr>
      <w:r>
        <w:t>Frontend TypeScript checks passed.</w:t>
      </w:r>
    </w:p>
    <w:p>
      <w:pPr>
        <w:pStyle w:val="ListBullet"/>
      </w:pPr>
      <w:r>
        <w:t>Frontend Vitest checks passed: 3 tests.</w:t>
      </w:r>
    </w:p>
    <w:p>
      <w:pPr>
        <w:pStyle w:val="ListBullet"/>
      </w:pPr>
      <w:r>
        <w:t>Frontend production build passed.</w:t>
      </w:r>
    </w:p>
    <w:p>
      <w:pPr>
        <w:pStyle w:val="ListBullet"/>
      </w:pPr>
      <w:r>
        <w:t>Render readiness endpoint returned 200.</w:t>
      </w:r>
    </w:p>
    <w:p>
      <w:pPr>
        <w:pStyle w:val="ListBullet"/>
      </w:pPr>
      <w:r>
        <w:t>Frontend delivery returned 200 and CORS preflight returned 200.</w:t>
      </w:r>
    </w:p>
    <w:p>
      <w:pPr>
        <w:pStyle w:val="ListBullet"/>
      </w:pPr>
      <w:r>
        <w:t>All six demo accounts authenticated successfully in production.</w:t>
      </w:r>
    </w:p>
    <w:p>
      <w:pPr>
        <w:pStyle w:val="ListBullet"/>
      </w:pPr>
      <w:r>
        <w:t>Authenticated department lookup returned six departments in production.</w:t>
      </w:r>
    </w:p>
    <w:p>
      <w:pPr>
        <w:pStyle w:val="ListBullet"/>
      </w:pPr>
      <w:r>
        <w:t>OpenAPI confirmed nearby trending, upvote, WhatsApp webhook, and department endpoints.</w:t>
      </w:r>
    </w:p>
    <w:p>
      <w:pPr>
        <w:pStyle w:val="Heading1"/>
      </w:pPr>
      <w:r>
        <w:t>Remaining external resource</w:t>
      </w:r>
    </w:p>
    <w:p>
      <w:r>
        <w:t>No blocking application issue remains for the deployed citizen and staff workflows. To enable real outbound WhatsApp notifications, add WHATSAPP_ACCESS_TOKEN and WHATSAPP_PHONE_NUMBER_ID from Meta. The webhook endpoint and the rest of the application do not depend on those optional credentials.</w:t>
      </w:r>
    </w:p>
    <w:p>
      <w:pPr>
        <w:pStyle w:val="Heading1"/>
      </w:pPr>
      <w:r>
        <w:t>Useful links</w:t>
      </w:r>
    </w:p>
    <w:p>
      <w:pPr>
        <w:pStyle w:val="ListBullet"/>
      </w:pPr>
      <w:r>
        <w:rPr>
          <w:b/>
        </w:rPr>
        <w:t xml:space="preserve">Frontend: </w:t>
      </w:r>
      <w:r>
        <w:t>https://smart-governance-woad.vercel.app</w:t>
      </w:r>
    </w:p>
    <w:p>
      <w:pPr>
        <w:pStyle w:val="ListBullet"/>
      </w:pPr>
      <w:r>
        <w:rPr>
          <w:b/>
        </w:rPr>
        <w:t xml:space="preserve">Backend API: </w:t>
      </w:r>
      <w:r>
        <w:t>https://smart-governance-ai-synergy-api.onrender.com</w:t>
      </w:r>
    </w:p>
    <w:p>
      <w:pPr>
        <w:pStyle w:val="ListBullet"/>
      </w:pPr>
      <w:r>
        <w:rPr>
          <w:b/>
        </w:rPr>
        <w:t xml:space="preserve">API documentation: </w:t>
      </w:r>
      <w:r>
        <w:t>https://smart-governance-ai-synergy-api.onrender.com/docs</w:t>
      </w:r>
    </w:p>
    <w:p>
      <w:pPr>
        <w:pStyle w:val="ListBullet"/>
      </w:pPr>
      <w:r>
        <w:rPr>
          <w:b/>
        </w:rPr>
        <w:t xml:space="preserve">Repository: </w:t>
      </w:r>
      <w:r>
        <w:t>https://github.com/veerbachpalle-jpg/Smart_governance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