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b/>
          <w:bCs/>
          <w:color w:val="1a1a2e"/>
          <w:sz w:val="36"/>
          <w:szCs w:val="36"/>
        </w:rPr>
        <w:t xml:space="preserve">LBRO: A Law-Aware Breach Response Orchestrator for Automated Cyber Incident Detection, Evidence Preservation, and Multi-Jurisdiction Compliance Enforcement</w:t>
      </w:r>
    </w:p>
    <w:p>
      <w:pPr>
        <w:spacing w:after="80" w:before="120"/>
        <w:jc w:val="center"/>
      </w:pPr>
      <w:r>
        <w:rPr>
          <w:b/>
          <w:bCs/>
          <w:sz w:val="22"/>
          <w:szCs w:val="22"/>
        </w:rPr>
        <w:t xml:space="preserve">[Author 1], [Author 2], [Author 3]</w:t>
      </w:r>
    </w:p>
    <w:p>
      <w:pPr>
        <w:spacing w:after="60" w:before="0"/>
        <w:jc w:val="center"/>
      </w:pPr>
      <w:r>
        <w:rPr>
          <w:i/>
          <w:iCs/>
          <w:color w:val="444444"/>
          <w:sz w:val="18"/>
          <w:szCs w:val="18"/>
        </w:rPr>
        <w:t xml:space="preserve">Department of [Dept], [University], [City, Country]</w:t>
      </w:r>
    </w:p>
    <w:p>
      <w:pPr>
        <w:spacing w:after="240" w:before="0"/>
        <w:jc w:val="center"/>
      </w:pPr>
      <w:r>
        <w:rPr>
          <w:i/>
          <w:iCs/>
          <w:color w:val="666666"/>
          <w:sz w:val="16"/>
          <w:szCs w:val="16"/>
        </w:rPr>
        <w:t xml:space="preserve">[author1@inst.edu], [author2@inst.edu], [author3@inst.edu]</w:t>
      </w:r>
    </w:p>
    <w:p>
      <w:pPr>
        <w:pBdr>
          <w:bottom w:val="single" w:color="AAAAAA" w:sz="1"/>
        </w:pBdr>
        <w:spacing w:after="120" w:before="120"/>
      </w:pPr>
    </w:p>
    <w:p>
      <w:pPr>
        <w:spacing w:after="60" w:before="120"/>
      </w:pPr>
      <w:r>
        <w:rPr>
          <w:b/>
          <w:bCs/>
          <w:color w:val="1a1a2e"/>
          <w:sz w:val="22"/>
          <w:szCs w:val="22"/>
        </w:rPr>
        <w:t xml:space="preserve">Abstract</w:t>
      </w:r>
    </w:p>
    <w:p>
      <w:pPr>
        <w:spacing w:after="60" w:before="0"/>
        <w:jc w:val="both"/>
      </w:pPr>
      <w:r>
        <w:rPr>
          <w:b/>
          <w:bCs/>
          <w:i/>
          <w:iCs/>
          <w:sz w:val="20"/>
          <w:szCs w:val="20"/>
        </w:rPr>
        <w:t xml:space="preserve">Abstract—</w:t>
      </w:r>
      <w:r>
        <w:rPr>
          <w:sz w:val="20"/>
          <w:szCs w:val="20"/>
        </w:rPr>
        <w:t xml:space="preserve">The escalating frequency and sophistication of cyberattacks have created a critical gap in incident response capabilities, particularly for small and medium-sized organizations lacking dedicated Security Operations Centers. This paper presents LBRO (Law-aware Breach Response Orchestrator), an integrated platform that unifies automated threat detection, ML-based attack classification, tamper-evident evidence preservation, and multi-jurisdiction regulatory compliance in a single deployable system. LBRO employs a Gaussian Naive Bayes classifier trained on the CICIDS2017 dataset (15,000 samples, 77 features, 15 attack categories), achieving macro F1 score 0.9692, balanced accuracy 0.9678, MCC 0.9957, and 3-fold CV F1 0.9595. The backend is implemented in Python/FastAPI with asynchronous PostgreSQL, secured by JWT with per-token revocation, bcrypt hashing, and a four-tier RBAC system enforcing 30 granular permissions. The Evidence Vault stores forensic artifacts with SHA-256 integrity hashing and tamper-evident chain-of-custody logging. A Compliance Engine automatically generates binding obligations under GDPR (72h), HIPAA (60-day), and India's DPDPA (72h). The full stack is containerized with Docker Compose and deployable to AWS via Terraform IaC.</w:t>
      </w:r>
    </w:p>
    <w:p>
      <w:pPr>
        <w:spacing w:after="60" w:before="60"/>
      </w:pPr>
      <w:r>
        <w:rPr>
          <w:b/>
          <w:bCs/>
          <w:i/>
          <w:iCs/>
          <w:sz w:val="20"/>
          <w:szCs w:val="20"/>
        </w:rPr>
        <w:t xml:space="preserve">Index Terms—</w:t>
      </w:r>
      <w:r>
        <w:rPr>
          <w:sz w:val="20"/>
          <w:szCs w:val="20"/>
        </w:rPr>
        <w:t xml:space="preserve">Cybersecurity, Incident Response, CICIDS2017, Gaussian Naive Bayes, RBAC, Digital Forensics, GDPR, HIPAA, DPDPA, FastAPI, Docker, MITRE ATT&amp;CK, Compliance Automation.</w:t>
      </w:r>
    </w:p>
    <w:p>
      <w:pPr>
        <w:pBdr>
          <w:bottom w:val="single" w:color="AAAAAA" w:sz="1"/>
        </w:pBdr>
        <w:spacing w:after="120" w:before="120"/>
      </w:pPr>
    </w:p>
    <w:p>
      <w:pPr>
        <w:pStyle w:val="Heading1"/>
        <w:spacing w:after="120" w:before="300"/>
      </w:pPr>
      <w:r>
        <w:rPr>
          <w:b/>
          <w:bCs/>
          <w:color w:val="1a1a2e"/>
          <w:sz w:val="28"/>
          <w:szCs w:val="28"/>
        </w:rPr>
        <w:t xml:space="preserve">I. Introduction</w:t>
      </w:r>
    </w:p>
    <w:p>
      <w:pPr>
        <w:spacing w:after="60" w:before="60"/>
        <w:jc w:val="both"/>
      </w:pPr>
      <w:r>
        <w:rPr>
          <w:sz w:val="20"/>
          <w:szCs w:val="20"/>
        </w:rPr>
        <w:t xml:space="preserve">The global cost of cybercrime is projected to reach $10.5 trillion annually by 2025 [1]. Incident response tooling remains fragmented, expensive, and inaccessible to organizations without dedicated security staff. A typical workflow spans separate SIEM, SOAR, forensic, and legal compliance tools. For SMEs this fragmentation is operationally impractical.</w:t>
      </w:r>
    </w:p>
    <w:p>
      <w:pPr>
        <w:spacing w:after="60" w:before="60"/>
        <w:jc w:val="both"/>
      </w:pPr>
      <w:r>
        <w:rPr>
          <w:sz w:val="20"/>
          <w:szCs w:val="20"/>
        </w:rPr>
        <w:t xml:space="preserve">The problem is compounded by legal obligations. GDPR mandates notification within 72 hours of breach discovery [3]. HIPAA requires HHS disclosure within 60 days [4]. India's DPDPA 2023 imposes a 72-hour notification deadline [5]. Non-compliance carries fines up to 4% of global annual turnover under GDPR. Organizations lack tooling that integrates legal awareness into the technical incident response workflow.</w:t>
      </w:r>
    </w:p>
    <w:p>
      <w:pPr>
        <w:spacing w:after="60" w:before="60"/>
        <w:jc w:val="both"/>
      </w:pPr>
      <w:r>
        <w:rPr>
          <w:sz w:val="20"/>
          <w:szCs w:val="20"/>
        </w:rPr>
        <w:t xml:space="preserve">This paper makes the following contributions:</w:t>
      </w:r>
    </w:p>
    <w:p>
      <w:pPr>
        <w:pStyle w:val="ListParagraph"/>
        <w:numPr>
          <w:ilvl w:val="0"/>
          <w:numId w:val="2"/>
        </w:numPr>
        <w:spacing w:after="40" w:before="40"/>
      </w:pPr>
      <w:r>
        <w:rPr>
          <w:sz w:val="20"/>
          <w:szCs w:val="20"/>
        </w:rPr>
        <w:t xml:space="preserve">LBRO platform: A production-grade incident response system integrating ML classification, evidence preservation, and compliance enforcement.</w:t>
      </w:r>
    </w:p>
    <w:p>
      <w:pPr>
        <w:pStyle w:val="ListParagraph"/>
        <w:numPr>
          <w:ilvl w:val="0"/>
          <w:numId w:val="2"/>
        </w:numPr>
        <w:spacing w:after="40" w:before="40"/>
      </w:pPr>
      <w:r>
        <w:rPr>
          <w:sz w:val="20"/>
          <w:szCs w:val="20"/>
        </w:rPr>
        <w:t xml:space="preserve">ML evaluation: Systematic comparison of nine classifiers on CICIDS2017 using a composite scoring function; Gaussian Naive Bayes achieves composite score 0.9731.</w:t>
      </w:r>
    </w:p>
    <w:p>
      <w:pPr>
        <w:pStyle w:val="ListParagraph"/>
        <w:numPr>
          <w:ilvl w:val="0"/>
          <w:numId w:val="2"/>
        </w:numPr>
        <w:spacing w:after="40" w:before="40"/>
      </w:pPr>
      <w:r>
        <w:rPr>
          <w:sz w:val="20"/>
          <w:szCs w:val="20"/>
        </w:rPr>
        <w:t xml:space="preserve">Law-aware compliance engine: Automated obligation generation for GDPR, HIPAA, and DPDPA with deadline tracking.</w:t>
      </w:r>
    </w:p>
    <w:p>
      <w:pPr>
        <w:pStyle w:val="ListParagraph"/>
        <w:numPr>
          <w:ilvl w:val="0"/>
          <w:numId w:val="2"/>
        </w:numPr>
        <w:spacing w:after="40" w:before="40"/>
      </w:pPr>
      <w:r>
        <w:rPr>
          <w:sz w:val="20"/>
          <w:szCs w:val="20"/>
        </w:rPr>
        <w:t xml:space="preserve">Tamper-evident forensics: SHA-256 evidence hashing with immutability enforcement and per-access chain-of-custody records.</w:t>
      </w:r>
    </w:p>
    <w:p>
      <w:pPr>
        <w:pStyle w:val="ListParagraph"/>
        <w:numPr>
          <w:ilvl w:val="0"/>
          <w:numId w:val="2"/>
        </w:numPr>
        <w:spacing w:after="40" w:before="40"/>
      </w:pPr>
      <w:r>
        <w:rPr>
          <w:sz w:val="20"/>
          <w:szCs w:val="20"/>
        </w:rPr>
        <w:t xml:space="preserve">Project-scoped ingestion API: Multi-tenant event ingestion via cryptographic API keys requiring minimal application integration.</w:t>
      </w:r>
    </w:p>
    <w:p>
      <w:pPr>
        <w:spacing w:after="60" w:before="60"/>
      </w:pPr>
      <w:r>
        <w:rPr>
          <w:sz w:val="20"/>
          <w:szCs w:val="20"/>
        </w:rPr>
        <w:t xml:space="preserve"/>
      </w:r>
    </w:p>
    <w:p>
      <w:pPr>
        <w:pStyle w:val="Heading1"/>
        <w:spacing w:after="120" w:before="300"/>
      </w:pPr>
      <w:r>
        <w:rPr>
          <w:b/>
          <w:bCs/>
          <w:color w:val="1a1a2e"/>
          <w:sz w:val="28"/>
          <w:szCs w:val="28"/>
        </w:rPr>
        <w:t xml:space="preserve">II. Related Work</w:t>
      </w:r>
    </w:p>
    <w:p>
      <w:pPr>
        <w:pStyle w:val="Heading2"/>
        <w:spacing w:after="100" w:before="240"/>
      </w:pPr>
      <w:r>
        <w:rPr>
          <w:b/>
          <w:bCs/>
          <w:color w:val="1a1a2e"/>
          <w:sz w:val="24"/>
          <w:szCs w:val="24"/>
        </w:rPr>
        <w:t xml:space="preserve">A. Commercial SIEM and SOAR Platforms</w:t>
      </w:r>
    </w:p>
    <w:p>
      <w:pPr>
        <w:spacing w:after="60" w:before="60"/>
        <w:jc w:val="both"/>
      </w:pPr>
      <w:r>
        <w:rPr>
          <w:sz w:val="20"/>
          <w:szCs w:val="20"/>
        </w:rPr>
        <w:t xml:space="preserve">Splunk Enterprise Security [6] is the dominant commercial SIEM, requiring significant investment and specialized expertise. IBM QRadar [7] offers similar capabilities. Both lack native regulatory compliance automation or evidence chain-of-custody. CrowdStrike Falcon [8] and Microsoft Defender for Endpoint [9] focus on endpoint telemetry without application-layer ingestion APIs or compliance frameworks.</w:t>
      </w:r>
    </w:p>
    <w:p>
      <w:pPr>
        <w:spacing w:after="60" w:before="60"/>
        <w:jc w:val="both"/>
      </w:pPr>
      <w:r>
        <w:rPr>
          <w:sz w:val="20"/>
          <w:szCs w:val="20"/>
        </w:rPr>
        <w:t xml:space="preserve">Elastic Security [10] provides an open-source path through the ELK stack but requires substantial configuration effort and lacks built-in compliance frameworks. TheHive [11] provides open-source case management without ML classification or compliance deadline management. Shuffle SOAR [12] provides workflow automation without native ML classification or evidence storage.</w:t>
      </w:r>
    </w:p>
    <w:p>
      <w:pPr>
        <w:pStyle w:val="Heading2"/>
        <w:spacing w:after="100" w:before="240"/>
      </w:pPr>
      <w:r>
        <w:rPr>
          <w:b/>
          <w:bCs/>
          <w:color w:val="1a1a2e"/>
          <w:sz w:val="24"/>
          <w:szCs w:val="24"/>
        </w:rPr>
        <w:t xml:space="preserve">B. Network Intrusion Detection Research</w:t>
      </w:r>
    </w:p>
    <w:p>
      <w:pPr>
        <w:spacing w:after="60" w:before="60"/>
        <w:jc w:val="both"/>
      </w:pPr>
      <w:r>
        <w:rPr>
          <w:sz w:val="20"/>
          <w:szCs w:val="20"/>
        </w:rPr>
        <w:t xml:space="preserve">Buczak and Guven [13] surveyed ML methods for network intrusion detection, identifying the trade-off between detection accuracy and computational cost as the primary deployment challenge. Sharafaldin et al. [15] introduced CICIDS2017, providing 78 features from CICFlowMeter across 15 attack categories. Panigrahi and Borah [16] evaluated 37 ML methods on CICIDS2017, finding ensemble methods achieve highest raw accuracy at higher computational cost than probabilistic classifiers.</w:t>
      </w:r>
    </w:p>
    <w:p>
      <w:pPr>
        <w:pStyle w:val="Heading2"/>
        <w:spacing w:after="100" w:before="240"/>
      </w:pPr>
      <w:r>
        <w:rPr>
          <w:b/>
          <w:bCs/>
          <w:color w:val="1a1a2e"/>
          <w:sz w:val="24"/>
          <w:szCs w:val="24"/>
        </w:rPr>
        <w:t xml:space="preserve">C. Digital Forensics and Compliance</w:t>
      </w:r>
    </w:p>
    <w:p>
      <w:pPr>
        <w:spacing w:after="60" w:before="60"/>
        <w:jc w:val="both"/>
      </w:pPr>
      <w:r>
        <w:rPr>
          <w:sz w:val="20"/>
          <w:szCs w:val="20"/>
        </w:rPr>
        <w:t xml:space="preserve">Casey [17] established chain-of-custody as the mechanism for legally defensible digital evidence. Garfinkel [18] identified hash integrity verification and structured audit trails as minimum requirements for forensic validity. Goddard [19] analyzed GDPR's technical implications, identifying automated breach detection and rapid notification as primary engineering challenges.</w:t>
      </w:r>
    </w:p>
    <w:p>
      <w:pPr>
        <w:spacing w:after="120" w:before="60"/>
        <w:jc w:val="center"/>
      </w:pPr>
      <w:r>
        <w:rPr>
          <w:i/>
          <w:iCs/>
          <w:color w:val="444444"/>
          <w:sz w:val="18"/>
          <w:szCs w:val="18"/>
        </w:rPr>
        <w:t xml:space="preserve">Table I: Feature Comparison: LBRO vs. Existing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40"/>
        <w:gridCol w:w="890"/>
        <w:gridCol w:w="890"/>
        <w:gridCol w:w="890"/>
        <w:gridCol w:w="890"/>
        <w:gridCol w:w="890"/>
        <w:gridCol w:w="470"/>
      </w:tblGrid>
      <w:tr>
        <w:trPr>
          <w:tblHeader/>
        </w:trPr>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Feature</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LBRO</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Splunk</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Wazuh</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CrowdStr.</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Elastic</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TheHive</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Shuffle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ML Attack Classification</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Partial</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Partial</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Plugin</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Evidence Chain of Custody</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GDPR Compliance Engine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Partial</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Partial</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HIPAA Compliance Engine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DPDPA Compliance Engine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Project API Key Ingestion</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PDF Report Generation</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Open Source / Self-hosted</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w:t>
            </w:r>
          </w:p>
        </w:tc>
      </w:tr>
    </w:tbl>
    <w:p>
      <w:pPr>
        <w:spacing w:after="60" w:before="60"/>
      </w:pPr>
      <w:r>
        <w:rPr>
          <w:sz w:val="20"/>
          <w:szCs w:val="20"/>
        </w:rPr>
        <w:t xml:space="preserve"/>
      </w:r>
    </w:p>
    <w:p>
      <w:pPr>
        <w:pStyle w:val="Heading1"/>
        <w:spacing w:after="120" w:before="300"/>
      </w:pPr>
      <w:r>
        <w:rPr>
          <w:b/>
          <w:bCs/>
          <w:color w:val="1a1a2e"/>
          <w:sz w:val="28"/>
          <w:szCs w:val="28"/>
        </w:rPr>
        <w:t xml:space="preserve">III. Problem Statement</w:t>
      </w:r>
    </w:p>
    <w:p>
      <w:pPr>
        <w:spacing w:after="60" w:before="60"/>
        <w:jc w:val="both"/>
      </w:pPr>
      <w:r>
        <w:rPr>
          <w:sz w:val="20"/>
          <w:szCs w:val="20"/>
        </w:rPr>
        <w:t xml:space="preserve">Current incident response tooling exhibits four primary limitations:</w:t>
      </w:r>
    </w:p>
    <w:p>
      <w:pPr>
        <w:spacing w:after="60" w:before="60"/>
        <w:jc w:val="both"/>
      </w:pPr>
      <w:r>
        <w:rPr>
          <w:sz w:val="20"/>
          <w:szCs w:val="20"/>
        </w:rPr>
        <w:t xml:space="preserve">P1 — Manual and fragmented response. Incident response is distributed across separate detection, ticketing, forensic, and reporting tools. The median time to identify and contain a breach is 277 days [21].</w:t>
      </w:r>
    </w:p>
    <w:p>
      <w:pPr>
        <w:spacing w:after="60" w:before="60"/>
        <w:jc w:val="both"/>
      </w:pPr>
      <w:r>
        <w:rPr>
          <w:sz w:val="20"/>
          <w:szCs w:val="20"/>
        </w:rPr>
        <w:t xml:space="preserve">P2 — Compliance opacity. Organizations do not know which regulations apply to a given breach until legal review is complete, introducing delays that cause non-compliance by default.</w:t>
      </w:r>
    </w:p>
    <w:p>
      <w:pPr>
        <w:spacing w:after="60" w:before="60"/>
        <w:jc w:val="both"/>
      </w:pPr>
      <w:r>
        <w:rPr>
          <w:sz w:val="20"/>
          <w:szCs w:val="20"/>
        </w:rPr>
        <w:t xml:space="preserve">P3 — Evidence integrity risk. Digital evidence collected without a strict chain of custody may be inadmissible. File copies can be silently corrupted; access is rarely logged.</w:t>
      </w:r>
    </w:p>
    <w:p>
      <w:pPr>
        <w:spacing w:after="60" w:before="60"/>
        <w:jc w:val="both"/>
      </w:pPr>
      <w:r>
        <w:rPr>
          <w:sz w:val="20"/>
          <w:szCs w:val="20"/>
        </w:rPr>
        <w:t xml:space="preserve">P4 — Integration barrier. Monitored applications require significant instrumentation to integrate with existing SIEMs. LBRO provides a single HTTP POST endpoint requiring as little as three lines of application code.</w:t>
      </w:r>
    </w:p>
    <w:p>
      <w:pPr>
        <w:spacing w:after="60" w:before="60"/>
      </w:pPr>
      <w:r>
        <w:rPr>
          <w:sz w:val="20"/>
          <w:szCs w:val="20"/>
        </w:rPr>
        <w:t xml:space="preserve"/>
      </w:r>
    </w:p>
    <w:p>
      <w:pPr>
        <w:pStyle w:val="Heading1"/>
        <w:spacing w:after="120" w:before="300"/>
      </w:pPr>
      <w:r>
        <w:rPr>
          <w:b/>
          <w:bCs/>
          <w:color w:val="1a1a2e"/>
          <w:sz w:val="28"/>
          <w:szCs w:val="28"/>
        </w:rPr>
        <w:t xml:space="preserve">IV. System Architecture</w:t>
      </w:r>
    </w:p>
    <w:p>
      <w:pPr>
        <w:pStyle w:val="Heading2"/>
        <w:spacing w:after="100" w:before="240"/>
      </w:pPr>
      <w:r>
        <w:rPr>
          <w:b/>
          <w:bCs/>
          <w:color w:val="1a1a2e"/>
          <w:sz w:val="24"/>
          <w:szCs w:val="24"/>
        </w:rPr>
        <w:t xml:space="preserve">A. High-Level Design</w:t>
      </w:r>
    </w:p>
    <w:p>
      <w:pPr>
        <w:spacing w:after="60" w:before="60"/>
        <w:jc w:val="both"/>
      </w:pPr>
      <w:r>
        <w:rPr>
          <w:sz w:val="20"/>
          <w:szCs w:val="20"/>
        </w:rPr>
        <w:t xml:space="preserve">LBRO follows a layered architecture comprising five tiers: (1) presentation (React SPA), (2) API gateway (FastAPI), (3) business logic (routers, services), (4) data persistence (PostgreSQL via SQLAlchemy async), and (5) background processing (SQS-backed worker).</w:t>
      </w:r>
    </w:p>
    <w:p>
      <w:pPr>
        <w:pStyle w:val="Heading2"/>
        <w:spacing w:after="100" w:before="240"/>
      </w:pPr>
      <w:r>
        <w:rPr>
          <w:b/>
          <w:bCs/>
          <w:color w:val="1a1a2e"/>
          <w:sz w:val="24"/>
          <w:szCs w:val="24"/>
        </w:rPr>
        <w:t xml:space="preserve">B. Authentication and Authorization</w:t>
      </w:r>
    </w:p>
    <w:p>
      <w:pPr>
        <w:spacing w:after="60" w:before="60"/>
        <w:jc w:val="both"/>
      </w:pPr>
      <w:r>
        <w:rPr>
          <w:sz w:val="20"/>
          <w:szCs w:val="20"/>
        </w:rPr>
        <w:t xml:space="preserve">LBRO implements a dual authentication model. User sessions use JWT access tokens (HS256, 30-minute expiry) with refresh tokens (7-day expiry). Each JWT carries a unique jti claim enabling per-token revocation on logout. Password hashing uses bcrypt via passlib with account lockout after 5 consecutive failures for 15 minutes.</w:t>
      </w:r>
    </w:p>
    <w:p>
      <w:pPr>
        <w:spacing w:after="60" w:before="60"/>
        <w:jc w:val="both"/>
      </w:pPr>
      <w:r>
        <w:rPr>
          <w:sz w:val="20"/>
          <w:szCs w:val="20"/>
        </w:rPr>
        <w:t xml:space="preserve">External application ingestion uses project-scoped API keys of the form proj_&lt;token&gt;, generated via Python's secrets.token_urlsafe(32). The project identity is resolved server-side from the API key.</w:t>
      </w:r>
    </w:p>
    <w:p>
      <w:pPr>
        <w:pStyle w:val="Heading2"/>
        <w:spacing w:after="100" w:before="240"/>
      </w:pPr>
      <w:r>
        <w:rPr>
          <w:b/>
          <w:bCs/>
          <w:color w:val="1a1a2e"/>
          <w:sz w:val="24"/>
          <w:szCs w:val="24"/>
        </w:rPr>
        <w:t xml:space="preserve">C. Role-Based Access Control</w:t>
      </w:r>
    </w:p>
    <w:p>
      <w:pPr>
        <w:spacing w:after="60" w:before="60"/>
        <w:jc w:val="both"/>
      </w:pPr>
      <w:r>
        <w:rPr>
          <w:sz w:val="20"/>
          <w:szCs w:val="20"/>
        </w:rPr>
        <w:t xml:space="preserve">LBRO implements four roles: super_admin (platform-wide, mandatory audit logging) and three project-level roles: admin &gt; analyst &gt; viewer. Authorization decisions are made exclusively through a centralized ROLE_PERMISSIONS dictionary mapping roles to 30 enumerated Permission values. Role strings are never compared directly in application code.</w:t>
      </w:r>
    </w:p>
    <w:p>
      <w:pPr>
        <w:pStyle w:val="Heading2"/>
        <w:spacing w:after="100" w:before="240"/>
      </w:pPr>
      <w:r>
        <w:rPr>
          <w:b/>
          <w:bCs/>
          <w:color w:val="1a1a2e"/>
          <w:sz w:val="24"/>
          <w:szCs w:val="24"/>
        </w:rPr>
        <w:t xml:space="preserve">D. Event Ingestion Pipeline</w:t>
      </w:r>
    </w:p>
    <w:p>
      <w:pPr>
        <w:spacing w:after="60" w:before="60"/>
        <w:jc w:val="both"/>
      </w:pPr>
      <w:r>
        <w:rPr>
          <w:sz w:val="20"/>
          <w:szCs w:val="20"/>
        </w:rPr>
        <w:t xml:space="preserve">The ingestion pipeline (POST /api/v1/events and POST /api/v1/events/batch) processes security events in six stages: (1) API key authentication and project resolution, (2) Pydantic schema validation, (3) SecurityEvent persistence with status=pending, (4) ML classification, (5) automatic Incident creation for high/critical severity events, and (6) SSE broadcast for real-time frontend delivery. The batch endpoint accepts up to 1,000 events per request.</w:t>
      </w:r>
    </w:p>
    <w:p>
      <w:pPr>
        <w:pStyle w:val="Heading2"/>
        <w:spacing w:after="100" w:before="240"/>
      </w:pPr>
      <w:r>
        <w:rPr>
          <w:b/>
          <w:bCs/>
          <w:color w:val="1a1a2e"/>
          <w:sz w:val="24"/>
          <w:szCs w:val="24"/>
        </w:rPr>
        <w:t xml:space="preserve">E. Database Schema</w:t>
      </w:r>
    </w:p>
    <w:p>
      <w:pPr>
        <w:spacing w:after="60" w:before="60"/>
        <w:jc w:val="both"/>
      </w:pPr>
      <w:r>
        <w:rPr>
          <w:sz w:val="20"/>
          <w:szCs w:val="20"/>
        </w:rPr>
        <w:t xml:space="preserve">The database comprises 14 tables managed by 11 Alembic migrations. All primary keys are UUID v4. Core entities include: users, incidents (with ML attributes, network features JSON, jurisdiction flags), evidence (SHA-256 hash, deferred LargeBinary file_data, immutability flag), chain_of_custody, compliance_records, compliance_obligations, projects (with per-project API key), security_events, investigation_notes, revoked_tokens (JTI blacklist), and audit_logs.</w:t>
      </w:r>
    </w:p>
    <w:p>
      <w:pPr>
        <w:spacing w:after="60" w:before="60"/>
      </w:pPr>
      <w:r>
        <w:rPr>
          <w:sz w:val="20"/>
          <w:szCs w:val="20"/>
        </w:rPr>
        <w:t xml:space="preserve"/>
      </w:r>
    </w:p>
    <w:p>
      <w:pPr>
        <w:pStyle w:val="Heading1"/>
        <w:spacing w:after="120" w:before="300"/>
      </w:pPr>
      <w:r>
        <w:rPr>
          <w:b/>
          <w:bCs/>
          <w:color w:val="1a1a2e"/>
          <w:sz w:val="28"/>
          <w:szCs w:val="28"/>
        </w:rPr>
        <w:t xml:space="preserve">V. Implementation</w:t>
      </w:r>
    </w:p>
    <w:p>
      <w:pPr>
        <w:pStyle w:val="Heading2"/>
        <w:spacing w:after="100" w:before="240"/>
      </w:pPr>
      <w:r>
        <w:rPr>
          <w:b/>
          <w:bCs/>
          <w:color w:val="1a1a2e"/>
          <w:sz w:val="24"/>
          <w:szCs w:val="24"/>
        </w:rPr>
        <w:t xml:space="preserve">A. Backend</w:t>
      </w:r>
    </w:p>
    <w:p>
      <w:pPr>
        <w:spacing w:after="60" w:before="60"/>
        <w:jc w:val="both"/>
      </w:pPr>
      <w:r>
        <w:rPr>
          <w:sz w:val="20"/>
          <w:szCs w:val="20"/>
        </w:rPr>
        <w:t xml:space="preserve">The backend is implemented in Python 3.12 using FastAPI 0.115.5 with Uvicorn ASGI. Database access uses SQLAlchemy 2.0 in fully asynchronous mode via asyncpg and async_sessionmaker. Table II lists key dependencies.</w:t>
      </w:r>
    </w:p>
    <w:p>
      <w:pPr>
        <w:spacing w:after="120" w:before="60"/>
        <w:jc w:val="center"/>
      </w:pPr>
      <w:r>
        <w:rPr>
          <w:i/>
          <w:iCs/>
          <w:color w:val="444444"/>
          <w:sz w:val="18"/>
          <w:szCs w:val="18"/>
        </w:rPr>
        <w:t xml:space="preserve">Table II: Key Backend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Library</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Version</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Purpose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FastAPI</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0.115.5</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REST API framework</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SQLAlchemy</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2.0.36</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Async ORM</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asyncpg</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0.30.0</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PostgreSQL async driver</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Alembic</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1.14.0</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Database migrations (11 versions)</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python-jose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3.3.0</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JWT creation and verification</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passlib / bcrypt</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1.7.4 / 3.2.2</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bcrypt password hashing</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scikit-learn</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1.5.2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ML training and inference</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numpy</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1.26.4</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Feature vector manipulation</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reportlab</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4.2.5</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PDF incident report generation</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structlog</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26.1.0</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Structured JSON logging</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pydantic</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2.10.3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Schema validation and settings</w:t>
            </w:r>
          </w:p>
        </w:tc>
      </w:tr>
    </w:tbl>
    <w:p>
      <w:pPr>
        <w:spacing w:after="60" w:before="60"/>
      </w:pPr>
      <w:r>
        <w:rPr>
          <w:sz w:val="20"/>
          <w:szCs w:val="20"/>
        </w:rPr>
        <w:t xml:space="preserve"/>
      </w:r>
    </w:p>
    <w:p>
      <w:pPr>
        <w:spacing w:after="60" w:before="60"/>
        <w:jc w:val="both"/>
      </w:pPr>
      <w:r>
        <w:rPr>
          <w:sz w:val="20"/>
          <w:szCs w:val="20"/>
        </w:rPr>
        <w:t xml:space="preserve">The application exposes 16 API routers under /api/v1 covering authentication, incidents, evidence, compliance, users, ML insights, dashboard, audit, reports, projects, platform management, event ingestion, demo data, and notifications. Security middleware layers apply: SecurityHeadersMiddleware (X-Frame-Options: DENY, X-Content-Type-Options: nosniff, X-XSS-Protection, CSP, HSTS); RateLimitMiddleware (sliding-window, 10 req/min auth, 60 req/min general); TrustedHostMiddleware.</w:t>
      </w:r>
    </w:p>
    <w:p>
      <w:pPr>
        <w:pStyle w:val="Heading2"/>
        <w:spacing w:after="100" w:before="240"/>
      </w:pPr>
      <w:r>
        <w:rPr>
          <w:b/>
          <w:bCs/>
          <w:color w:val="1a1a2e"/>
          <w:sz w:val="24"/>
          <w:szCs w:val="24"/>
        </w:rPr>
        <w:t xml:space="preserve">B. Frontend</w:t>
      </w:r>
    </w:p>
    <w:p>
      <w:pPr>
        <w:spacing w:after="60" w:before="60"/>
        <w:jc w:val="both"/>
      </w:pPr>
      <w:r>
        <w:rPr>
          <w:sz w:val="20"/>
          <w:szCs w:val="20"/>
        </w:rPr>
        <w:t xml:space="preserve">The frontend is a SPA built with React 18.2, TypeScript 5.3, and Vite 5. State management uses Zustand for global auth/project state and TanStack Query v5 for server state. UI components use Radix UI primitives with Tailwind CSS. The incident investigation workspace provides seven tabs: Overview, Timeline, Raw Event, Evidence, Notes, IOC, and Related Incidents. Real-time events arrive via Server-Sent Events on /api/v1/events/stream.</w:t>
      </w:r>
    </w:p>
    <w:p>
      <w:pPr>
        <w:pStyle w:val="Heading2"/>
        <w:spacing w:after="100" w:before="240"/>
      </w:pPr>
      <w:r>
        <w:rPr>
          <w:b/>
          <w:bCs/>
          <w:color w:val="1a1a2e"/>
          <w:sz w:val="24"/>
          <w:szCs w:val="24"/>
        </w:rPr>
        <w:t xml:space="preserve">C. Containerization and Deployment</w:t>
      </w:r>
    </w:p>
    <w:p>
      <w:pPr>
        <w:spacing w:after="60" w:before="60"/>
        <w:jc w:val="both"/>
      </w:pPr>
      <w:r>
        <w:rPr>
          <w:sz w:val="20"/>
          <w:szCs w:val="20"/>
        </w:rPr>
        <w:t xml:space="preserve">The development stack uses Docker Compose with seven services: postgres (PostgreSQL 16 Alpine), localstack (S3/SQS/SecretsManager emulation), migrate (one-shot Alembic runner), api, worker, frontend (React/Nginx), and seed. Terraform IaC provisions AWS ECS Fargate, RDS PostgreSQL, S3, SQS, WAF, VPC, IAM, EventBridge, and Secrets Manager for production deployment.</w:t>
      </w:r>
    </w:p>
    <w:p>
      <w:pPr>
        <w:spacing w:after="60" w:before="60"/>
      </w:pPr>
      <w:r>
        <w:rPr>
          <w:sz w:val="20"/>
          <w:szCs w:val="20"/>
        </w:rPr>
        <w:t xml:space="preserve"/>
      </w:r>
    </w:p>
    <w:p>
      <w:pPr>
        <w:pStyle w:val="Heading1"/>
        <w:spacing w:after="120" w:before="300"/>
      </w:pPr>
      <w:r>
        <w:rPr>
          <w:b/>
          <w:bCs/>
          <w:color w:val="1a1a2e"/>
          <w:sz w:val="28"/>
          <w:szCs w:val="28"/>
        </w:rPr>
        <w:t xml:space="preserve">VI. Machine Learning Component</w:t>
      </w:r>
    </w:p>
    <w:p>
      <w:pPr>
        <w:pStyle w:val="Heading2"/>
        <w:spacing w:after="100" w:before="240"/>
      </w:pPr>
      <w:r>
        <w:rPr>
          <w:b/>
          <w:bCs/>
          <w:color w:val="1a1a2e"/>
          <w:sz w:val="24"/>
          <w:szCs w:val="24"/>
        </w:rPr>
        <w:t xml:space="preserve">A. Dataset</w:t>
      </w:r>
    </w:p>
    <w:p>
      <w:pPr>
        <w:spacing w:after="60" w:before="60"/>
        <w:jc w:val="both"/>
      </w:pPr>
      <w:r>
        <w:rPr>
          <w:sz w:val="20"/>
          <w:szCs w:val="20"/>
        </w:rPr>
        <w:t xml:space="preserve">The ML classifier is trained on a 15,000-sample stratified subset of CICIDS2017 [15]. The dataset contains labeled network flow records across 15 attack categories. The class distribution is moderately imbalanced (BENIGN ~51%, rare classes &lt;0.5%).</w:t>
      </w:r>
    </w:p>
    <w:p>
      <w:pPr>
        <w:spacing w:after="120" w:before="60"/>
        <w:jc w:val="center"/>
      </w:pPr>
      <w:r>
        <w:rPr>
          <w:i/>
          <w:iCs/>
          <w:color w:val="444444"/>
          <w:sz w:val="18"/>
          <w:szCs w:val="18"/>
        </w:rPr>
        <w:t xml:space="preserve">Table III: CICIDS2017 Dataset Properties (Stratified Subset)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Property</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Value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Total samples</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15,000</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Training samples</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12,000 (80%)</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Test samples</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3,000 (20%)</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Features</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77 (CICIDS2017 canonical)</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Attack classes</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15</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BENIGN proportion</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~51%</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Split strategy</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Stratified random</w:t>
            </w:r>
          </w:p>
        </w:tc>
      </w:tr>
    </w:tbl>
    <w:p>
      <w:pPr>
        <w:spacing w:after="60" w:before="60"/>
      </w:pPr>
      <w:r>
        <w:rPr>
          <w:sz w:val="20"/>
          <w:szCs w:val="20"/>
        </w:rPr>
        <w:t xml:space="preserve"/>
      </w:r>
    </w:p>
    <w:p>
      <w:pPr>
        <w:spacing w:after="60" w:before="60"/>
        <w:jc w:val="both"/>
      </w:pPr>
      <w:r>
        <w:rPr>
          <w:sz w:val="20"/>
          <w:szCs w:val="20"/>
        </w:rPr>
        <w:t xml:space="preserve">The 15 attack categories are: BENIGN, DoS Hulk, PortScan, DDoS, DoS GoldenEye, FTP-Patator, SSH-Patator, DoS slowloris, DoS Slowhttptest, Bot, Web Attack Brute Force, Web Attack XSS, Infiltration, Web Attack SQL Injection, and Heartbleed.</w:t>
      </w:r>
    </w:p>
    <w:p>
      <w:pPr>
        <w:pStyle w:val="Heading2"/>
        <w:spacing w:after="100" w:before="240"/>
      </w:pPr>
      <w:r>
        <w:rPr>
          <w:b/>
          <w:bCs/>
          <w:color w:val="1a1a2e"/>
          <w:sz w:val="24"/>
          <w:szCs w:val="24"/>
        </w:rPr>
        <w:t xml:space="preserve">B. Feature Engineering and Preprocessing</w:t>
      </w:r>
    </w:p>
    <w:p>
      <w:pPr>
        <w:spacing w:after="60" w:before="60"/>
        <w:jc w:val="both"/>
      </w:pPr>
      <w:r>
        <w:rPr>
          <w:sz w:val="20"/>
          <w:szCs w:val="20"/>
        </w:rPr>
        <w:t xml:space="preserve">All 77 CICIDS2017 canonical features are used covering packet-level statistics, flow-level statistics, sub-flow and bulk statistics, and TCP window/segment metrics. Preprocessing: NaN/inf imputation with zero; 99.9th-percentile outlier clipping; StandardScaler for scale-sensitive models; LabelEncoder for 15-class label mapping. The fitted scaler and encoder are persisted alongside the model.</w:t>
      </w:r>
    </w:p>
    <w:p>
      <w:pPr>
        <w:pStyle w:val="Heading2"/>
        <w:spacing w:after="100" w:before="240"/>
      </w:pPr>
      <w:r>
        <w:rPr>
          <w:b/>
          <w:bCs/>
          <w:color w:val="1a1a2e"/>
          <w:sz w:val="24"/>
          <w:szCs w:val="24"/>
        </w:rPr>
        <w:t xml:space="preserve">C. Model Selection</w:t>
      </w:r>
    </w:p>
    <w:p>
      <w:pPr>
        <w:spacing w:after="60" w:before="60"/>
        <w:jc w:val="both"/>
      </w:pPr>
      <w:r>
        <w:rPr>
          <w:sz w:val="20"/>
          <w:szCs w:val="20"/>
        </w:rPr>
        <w:t xml:space="preserve">Nine classifiers were evaluated: Logistic Regression, Decision Tree, Random Forest, Extra Trees, AdaBoost, Gaussian Naive Bayes, KNN (k=5), Linear SVM, and MLP (100, 50 hidden layers). Selection used the composite score:</w:t>
      </w:r>
    </w:p>
    <w:p>
      <w:pPr>
        <w:spacing w:after="120" w:before="120"/>
        <w:jc w:val="center"/>
      </w:pPr>
      <w:r>
        <w:rPr>
          <w:i/>
          <w:iCs/>
          <w:sz w:val="22"/>
          <w:szCs w:val="22"/>
        </w:rPr>
        <w:t xml:space="preserve">Composite = F1_macro x 0.4 + BalAcc x 0.3 + MCC x 0.2 + CV_F1 x 0.1</w:t>
      </w:r>
    </w:p>
    <w:p>
      <w:pPr>
        <w:spacing w:after="60" w:before="60"/>
        <w:jc w:val="both"/>
      </w:pPr>
      <w:r>
        <w:rPr>
          <w:sz w:val="20"/>
          <w:szCs w:val="20"/>
        </w:rPr>
        <w:t xml:space="preserve">This weighting explicitly prioritizes macro F1 over raw accuracy because the BENIGN majority class (~51%) inflates accuracy even when rare, high-severity attacks are misclassified.</w:t>
      </w:r>
    </w:p>
    <w:p>
      <w:pPr>
        <w:pStyle w:val="Heading2"/>
        <w:spacing w:after="100" w:before="240"/>
      </w:pPr>
      <w:r>
        <w:rPr>
          <w:b/>
          <w:bCs/>
          <w:color w:val="1a1a2e"/>
          <w:sz w:val="24"/>
          <w:szCs w:val="24"/>
        </w:rPr>
        <w:t xml:space="preserve">D. Results</w:t>
      </w:r>
    </w:p>
    <w:p>
      <w:pPr>
        <w:spacing w:after="120" w:before="60"/>
        <w:jc w:val="center"/>
      </w:pPr>
      <w:r>
        <w:rPr>
          <w:i/>
          <w:iCs/>
          <w:color w:val="444444"/>
          <w:sz w:val="18"/>
          <w:szCs w:val="18"/>
        </w:rPr>
        <w:t xml:space="preserve">Table IV: Baseline Model Comparison (Top 5 of 9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200"/>
        <w:gridCol w:w="1060"/>
        <w:gridCol w:w="2100"/>
      </w:tblGrid>
      <w:tr>
        <w:trPr>
          <w:tblHeader/>
        </w:trPr>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Model</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Macro F1</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Accuracy</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Bal. Acc.</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MCC</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Composite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Decision Tree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0.9967</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0.9967</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0.9542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0.9952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0.9774</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Naive Bayes</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0.9952</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0.9953</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0.9189</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0.9933</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0.9563</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Random Forest</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0.9931</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0.9947</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0.8489</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0.9923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0.9361</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Extra Trees</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0.9905</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0.9923</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0.8544</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0.9890</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0.8503</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Logistic Regression</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0.9419</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0.9383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0.7763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0.9122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0.7921</w:t>
            </w:r>
          </w:p>
        </w:tc>
      </w:tr>
    </w:tbl>
    <w:p>
      <w:pPr>
        <w:spacing w:after="60" w:before="60"/>
      </w:pPr>
      <w:r>
        <w:rPr>
          <w:sz w:val="20"/>
          <w:szCs w:val="20"/>
        </w:rPr>
        <w:t xml:space="preserve"/>
      </w:r>
    </w:p>
    <w:p>
      <w:pPr>
        <w:spacing w:after="120" w:before="60"/>
        <w:jc w:val="center"/>
      </w:pPr>
      <w:r>
        <w:rPr>
          <w:i/>
          <w:iCs/>
          <w:color w:val="444444"/>
          <w:sz w:val="18"/>
          <w:szCs w:val="18"/>
        </w:rPr>
        <w:t xml:space="preserve">Table V: Tuned Model Comparison (After RandomizedSearchCV, 3-Fold Stratified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200"/>
        <w:gridCol w:w="1150"/>
        <w:gridCol w:w="1260"/>
        <w:gridCol w:w="2200"/>
      </w:tblGrid>
      <w:tr>
        <w:trPr>
          <w:tblHeader/>
        </w:trPr>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Model</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Macro F1</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Bal. Acc.</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MCC</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CV F1</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Composite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Naive Bayes (tuned) *WINNER*</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0.9692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0.9678</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0.9957</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0.9595</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0.9731</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Decision Tree (tuned)</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0.9636</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0.9600</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0.9971</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0.9454</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0.9674</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Random Forest (tuned)</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0.8376</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0.8489</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0.9923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0.8577</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0.8740</w:t>
            </w:r>
          </w:p>
        </w:tc>
      </w:tr>
    </w:tbl>
    <w:p>
      <w:pPr>
        <w:spacing w:after="60" w:before="60"/>
      </w:pPr>
      <w:r>
        <w:rPr>
          <w:sz w:val="20"/>
          <w:szCs w:val="20"/>
        </w:rPr>
        <w:t xml:space="preserve"/>
      </w:r>
    </w:p>
    <w:p>
      <w:pPr>
        <w:pStyle w:val="Heading2"/>
        <w:spacing w:after="100" w:before="240"/>
      </w:pPr>
      <w:r>
        <w:rPr>
          <w:b/>
          <w:bCs/>
          <w:color w:val="1a1a2e"/>
          <w:sz w:val="24"/>
          <w:szCs w:val="24"/>
        </w:rPr>
        <w:t xml:space="preserve">E. Deployed Model: Gaussian Naive Bayes</w:t>
      </w:r>
    </w:p>
    <w:p>
      <w:pPr>
        <w:spacing w:after="120" w:before="60"/>
        <w:jc w:val="center"/>
      </w:pPr>
      <w:r>
        <w:rPr>
          <w:i/>
          <w:iCs/>
          <w:color w:val="444444"/>
          <w:sz w:val="18"/>
          <w:szCs w:val="18"/>
        </w:rPr>
        <w:t xml:space="preserve">Table VI: Deployed Model Summary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rPr>
          <w:tblHeader/>
        </w:trPr>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Property</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Value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Algorithm</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Gaussian Naive Bayes</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var_smoothing</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1e-12</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Macro F1</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0.9692</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Accuracy</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0.9970</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Balanced Accuracy</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0.9678</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Matthews CC</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0.9957</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CV F1 (3-fold)</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0.9595</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Composite Score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0.9731</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Model Size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~19 KB</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Inference Time</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&lt;1 ms/sample</w:t>
            </w:r>
          </w:p>
        </w:tc>
      </w:tr>
    </w:tbl>
    <w:p>
      <w:pPr>
        <w:spacing w:after="60" w:before="60"/>
      </w:pPr>
      <w:r>
        <w:rPr>
          <w:sz w:val="20"/>
          <w:szCs w:val="20"/>
        </w:rPr>
        <w:t xml:space="preserve"/>
      </w:r>
    </w:p>
    <w:p>
      <w:pPr>
        <w:spacing w:after="60" w:before="60"/>
        <w:jc w:val="both"/>
      </w:pPr>
      <w:r>
        <w:rPr>
          <w:sz w:val="20"/>
          <w:szCs w:val="20"/>
        </w:rPr>
        <w:t xml:space="preserve">GNB is selected because it achieves the highest composite score (0.9731) after tuning. Sub-millisecond inference makes it negligible relative to network and database I/O. The 19 KB model footprint eliminates memory pressure in containerized deployments. A sparse input guard checks that at least 10 of 77 features are non-zero before invoking the model; events lacking sufficient features fall back to a heuristic classifier.</w:t>
      </w:r>
    </w:p>
    <w:p>
      <w:pPr>
        <w:spacing w:after="60" w:before="60"/>
      </w:pPr>
      <w:r>
        <w:rPr>
          <w:sz w:val="20"/>
          <w:szCs w:val="20"/>
        </w:rPr>
        <w:t xml:space="preserve"/>
      </w:r>
    </w:p>
    <w:p>
      <w:pPr>
        <w:pStyle w:val="Heading1"/>
        <w:spacing w:after="120" w:before="300"/>
      </w:pPr>
      <w:r>
        <w:rPr>
          <w:b/>
          <w:bCs/>
          <w:color w:val="1a1a2e"/>
          <w:sz w:val="28"/>
          <w:szCs w:val="28"/>
        </w:rPr>
        <w:t xml:space="preserve">VII. Experimental Results</w:t>
      </w:r>
    </w:p>
    <w:p>
      <w:pPr>
        <w:pStyle w:val="Heading2"/>
        <w:spacing w:after="100" w:before="240"/>
      </w:pPr>
      <w:r>
        <w:rPr>
          <w:b/>
          <w:bCs/>
          <w:color w:val="1a1a2e"/>
          <w:sz w:val="24"/>
          <w:szCs w:val="24"/>
        </w:rPr>
        <w:t xml:space="preserve">A. API Performance</w:t>
      </w:r>
    </w:p>
    <w:p>
      <w:pPr>
        <w:spacing w:after="60" w:before="60"/>
        <w:jc w:val="both"/>
      </w:pPr>
      <w:r>
        <w:rPr>
          <w:sz w:val="20"/>
          <w:szCs w:val="20"/>
        </w:rPr>
        <w:t xml:space="preserve">bcrypt login verification introduces 100-200 ms deliberately (bcrypt's cost property). Incident list queries on indexed filters complete in under 50 ms. ML classification adds &lt;1 ms per event. PDF report generation via reportlab requires approximately 500-800 ms per incident report.</w:t>
      </w:r>
    </w:p>
    <w:p>
      <w:pPr>
        <w:pStyle w:val="Heading2"/>
        <w:spacing w:after="100" w:before="240"/>
      </w:pPr>
      <w:r>
        <w:rPr>
          <w:b/>
          <w:bCs/>
          <w:color w:val="1a1a2e"/>
          <w:sz w:val="24"/>
          <w:szCs w:val="24"/>
        </w:rPr>
        <w:t xml:space="preserve">B. Compliance Generation</w:t>
      </w:r>
    </w:p>
    <w:p>
      <w:pPr>
        <w:spacing w:after="120" w:before="60"/>
        <w:jc w:val="center"/>
      </w:pPr>
      <w:r>
        <w:rPr>
          <w:i/>
          <w:iCs/>
          <w:color w:val="444444"/>
          <w:sz w:val="18"/>
          <w:szCs w:val="18"/>
        </w:rPr>
        <w:t xml:space="preserve">Table VII: Compliance Obligation Generation by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960"/>
        <w:gridCol w:w="1400"/>
        <w:gridCol w:w="1400"/>
      </w:tblGrid>
      <w:tr>
        <w:trPr>
          <w:tblHeader/>
        </w:trPr>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Regulation</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Jurisdiction</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Authority</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Deadline (hrs)</w:t>
            </w:r>
          </w:p>
        </w:tc>
        <w:tc>
          <w:tcPr>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vAlign w:val="center"/>
          </w:tcPr>
          <w:p>
            <w:r>
              <w:rPr>
                <w:b/>
                <w:bCs/>
                <w:color w:val="000000"/>
                <w:sz w:val="18"/>
                <w:szCs w:val="18"/>
              </w:rPr>
              <w:t xml:space="preserve">Obligations</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GDPR</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EU, EEA, UK</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Data Protection Authority</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72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4</w:t>
            </w:r>
          </w:p>
        </w:tc>
      </w:tr>
      <w:tr>
        <w:trPr>
          <w:tblHeader w:val="false"/>
        </w:trPr>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HIPAA</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US</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HHS Office for Civil Rights</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1,440 (60 days)</w:t>
            </w:r>
          </w:p>
        </w:tc>
        <w:tc>
          <w:tcPr>
            <w:tcBorders>
              <w:top w:val="single" w:color="AAAAAA" w:sz="4"/>
              <w:left w:val="single" w:color="AAAAAA" w:sz="4"/>
              <w:bottom w:val="single" w:color="AAAAAA" w:sz="4"/>
              <w:right w:val="single" w:color="AAAAAA" w:sz="4"/>
            </w:tcBorders>
            <w:shd w:fill="F2F5FB" w:val="clear"/>
            <w:tcMar>
              <w:top w:type="dxa" w:w="60"/>
              <w:left w:type="dxa" w:w="100"/>
              <w:bottom w:type="dxa" w:w="60"/>
              <w:right w:type="dxa" w:w="100"/>
            </w:tcMar>
            <w:vAlign w:val="center"/>
          </w:tcPr>
          <w:p>
            <w:r>
              <w:rPr>
                <w:b w:val="false"/>
                <w:bCs w:val="false"/>
                <w:color w:val="000000"/>
                <w:sz w:val="18"/>
                <w:szCs w:val="18"/>
              </w:rPr>
              <w:t xml:space="preserve">4</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DPDPA</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IN</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Data Protection Board India</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72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r>
              <w:rPr>
                <w:b w:val="false"/>
                <w:bCs w:val="false"/>
                <w:color w:val="000000"/>
                <w:sz w:val="18"/>
                <w:szCs w:val="18"/>
              </w:rPr>
              <w:t xml:space="preserve">3</w:t>
            </w:r>
          </w:p>
        </w:tc>
      </w:tr>
    </w:tbl>
    <w:p>
      <w:pPr>
        <w:spacing w:after="60" w:before="60"/>
      </w:pPr>
      <w:r>
        <w:rPr>
          <w:sz w:val="20"/>
          <w:szCs w:val="20"/>
        </w:rPr>
        <w:t xml:space="preserve"/>
      </w:r>
    </w:p>
    <w:p>
      <w:pPr>
        <w:pStyle w:val="Heading2"/>
        <w:spacing w:after="100" w:before="240"/>
      </w:pPr>
      <w:r>
        <w:rPr>
          <w:b/>
          <w:bCs/>
          <w:color w:val="1a1a2e"/>
          <w:sz w:val="24"/>
          <w:szCs w:val="24"/>
        </w:rPr>
        <w:t xml:space="preserve">C. Evidence Integrity</w:t>
      </w:r>
    </w:p>
    <w:p>
      <w:pPr>
        <w:spacing w:after="60" w:before="60"/>
        <w:jc w:val="both"/>
      </w:pPr>
      <w:r>
        <w:rPr>
          <w:sz w:val="20"/>
          <w:szCs w:val="20"/>
        </w:rPr>
        <w:t xml:space="preserve">SHA-256 hashes are computed via hashlib.sha256 at upload time. The /api/v1/evidence/{id}/verify endpoint re-computes the hash and returns hash_matched: true|false. Every access and verification event is recorded in chain_of_custody with timestamp, actor identity, and client IP. The is_immutable flag prevents programmatic deletion of forensic artifacts at the service layer.</w:t>
      </w:r>
    </w:p>
    <w:p>
      <w:pPr>
        <w:spacing w:after="60" w:before="60"/>
      </w:pPr>
      <w:r>
        <w:rPr>
          <w:sz w:val="20"/>
          <w:szCs w:val="20"/>
        </w:rPr>
        <w:t xml:space="preserve"/>
      </w:r>
    </w:p>
    <w:p>
      <w:pPr>
        <w:pStyle w:val="Heading1"/>
        <w:spacing w:after="120" w:before="300"/>
      </w:pPr>
      <w:r>
        <w:rPr>
          <w:b/>
          <w:bCs/>
          <w:color w:val="1a1a2e"/>
          <w:sz w:val="28"/>
          <w:szCs w:val="28"/>
        </w:rPr>
        <w:t xml:space="preserve">VIII. Security Analysis</w:t>
      </w:r>
    </w:p>
    <w:p>
      <w:pPr>
        <w:pStyle w:val="Heading2"/>
        <w:spacing w:after="100" w:before="240"/>
      </w:pPr>
      <w:r>
        <w:rPr>
          <w:b/>
          <w:bCs/>
          <w:color w:val="1a1a2e"/>
          <w:sz w:val="24"/>
          <w:szCs w:val="24"/>
        </w:rPr>
        <w:t xml:space="preserve">A. Authentication Security</w:t>
      </w:r>
    </w:p>
    <w:p>
      <w:pPr>
        <w:spacing w:after="60" w:before="60"/>
        <w:jc w:val="both"/>
      </w:pPr>
      <w:r>
        <w:rPr>
          <w:sz w:val="20"/>
          <w:szCs w:val="20"/>
        </w:rPr>
        <w:t xml:space="preserve">JWT tokens use HS256 signing with a minimum 32-character secret key enforced at startup (startup fails in production if the placeholder key is detected). The jti claim enables per-token blacklisting via the revoked_tokens table.</w:t>
      </w:r>
    </w:p>
    <w:p>
      <w:pPr>
        <w:pStyle w:val="Heading2"/>
        <w:spacing w:after="100" w:before="240"/>
      </w:pPr>
      <w:r>
        <w:rPr>
          <w:b/>
          <w:bCs/>
          <w:color w:val="1a1a2e"/>
          <w:sz w:val="24"/>
          <w:szCs w:val="24"/>
        </w:rPr>
        <w:t xml:space="preserve">B. Authorization Controls</w:t>
      </w:r>
    </w:p>
    <w:p>
      <w:pPr>
        <w:spacing w:after="60" w:before="60"/>
        <w:jc w:val="both"/>
      </w:pPr>
      <w:r>
        <w:rPr>
          <w:sz w:val="20"/>
          <w:szCs w:val="20"/>
        </w:rPr>
        <w:t xml:space="preserve">All protected endpoints resolve the caller's role from the JWT payload and evaluate the required permission against the centralized ROLE_PERMISSIONS dictionary. Permission checks are the single source of truth; role string comparison is prohibited in application code.</w:t>
      </w:r>
    </w:p>
    <w:p>
      <w:pPr>
        <w:pStyle w:val="Heading2"/>
        <w:spacing w:after="100" w:before="240"/>
      </w:pPr>
      <w:r>
        <w:rPr>
          <w:b/>
          <w:bCs/>
          <w:color w:val="1a1a2e"/>
          <w:sz w:val="24"/>
          <w:szCs w:val="24"/>
        </w:rPr>
        <w:t xml:space="preserve">C. Security Headers</w:t>
      </w:r>
    </w:p>
    <w:p>
      <w:pPr>
        <w:spacing w:after="60" w:before="60"/>
        <w:jc w:val="both"/>
      </w:pPr>
      <w:r>
        <w:rPr>
          <w:sz w:val="20"/>
          <w:szCs w:val="20"/>
        </w:rPr>
        <w:t xml:space="preserve">SecurityHeadersMiddleware appends on every response: X-Frame-Options: DENY, X-Content-Type-Options: nosniff, X-XSS-Protection: 1; mode=block, Referrer-Policy: strict-origin-when-cross-origin, and Permissions-Policy disabling geolocation, microphone, and camera. HSTS (max-age=31536000; includeSubDomains) is applied on HTTPS connections.</w:t>
      </w:r>
    </w:p>
    <w:p>
      <w:pPr>
        <w:pStyle w:val="Heading2"/>
        <w:spacing w:after="100" w:before="240"/>
      </w:pPr>
      <w:r>
        <w:rPr>
          <w:b/>
          <w:bCs/>
          <w:color w:val="1a1a2e"/>
          <w:sz w:val="24"/>
          <w:szCs w:val="24"/>
        </w:rPr>
        <w:t xml:space="preserve">D. Project Isolation</w:t>
      </w:r>
    </w:p>
    <w:p>
      <w:pPr>
        <w:spacing w:after="60" w:before="60"/>
        <w:jc w:val="both"/>
      </w:pPr>
      <w:r>
        <w:rPr>
          <w:sz w:val="20"/>
          <w:szCs w:val="20"/>
        </w:rPr>
        <w:t xml:space="preserve">Multi-tenant data isolation is enforced at the ORM query layer. API key authentication resolves the project server-side; clients cannot submit or manipulate the project identifier. Every data query includes a project_id filter. Cross-project access is structurally prevented by the data model.</w:t>
      </w:r>
    </w:p>
    <w:p>
      <w:pPr>
        <w:spacing w:after="60" w:before="60"/>
      </w:pPr>
      <w:r>
        <w:rPr>
          <w:sz w:val="20"/>
          <w:szCs w:val="20"/>
        </w:rPr>
        <w:t xml:space="preserve"/>
      </w:r>
    </w:p>
    <w:p>
      <w:pPr>
        <w:pStyle w:val="Heading1"/>
        <w:spacing w:after="120" w:before="300"/>
      </w:pPr>
      <w:r>
        <w:rPr>
          <w:b/>
          <w:bCs/>
          <w:color w:val="1a1a2e"/>
          <w:sz w:val="28"/>
          <w:szCs w:val="28"/>
        </w:rPr>
        <w:t xml:space="preserve">IX. Compliance Framework</w:t>
      </w:r>
    </w:p>
    <w:p>
      <w:pPr>
        <w:spacing w:after="60" w:before="60"/>
        <w:jc w:val="both"/>
      </w:pPr>
      <w:r>
        <w:rPr>
          <w:sz w:val="20"/>
          <w:szCs w:val="20"/>
        </w:rPr>
        <w:t xml:space="preserve">The Compliance Engine follows a rule-trigger model. When an incident is created with data classification flags (personal_data_involved, health_data_involved) and jurisdiction annotations, the engine evaluates matching regulations and generates obligation records immediately.</w:t>
      </w:r>
    </w:p>
    <w:p>
      <w:pPr>
        <w:pStyle w:val="Heading2"/>
        <w:spacing w:after="100" w:before="240"/>
      </w:pPr>
      <w:r>
        <w:rPr>
          <w:b/>
          <w:bCs/>
          <w:color w:val="1a1a2e"/>
          <w:sz w:val="24"/>
          <w:szCs w:val="24"/>
        </w:rPr>
        <w:t xml:space="preserve">A. GDPR</w:t>
      </w:r>
    </w:p>
    <w:p>
      <w:pPr>
        <w:spacing w:after="60" w:before="60"/>
        <w:jc w:val="both"/>
      </w:pPr>
      <w:r>
        <w:rPr>
          <w:sz w:val="20"/>
          <w:szCs w:val="20"/>
        </w:rPr>
        <w:t xml:space="preserve">GDPR Article 33 requires notification within 72 hours. LBRO generates four GDPR obligations: authority notification, subject notification, Article 33(5) register documentation, and risk assessment. Triggered when personal_data_involved=True or jurisdiction intersects {EU, EEA, UK}.</w:t>
      </w:r>
    </w:p>
    <w:p>
      <w:pPr>
        <w:pStyle w:val="Heading2"/>
        <w:spacing w:after="100" w:before="240"/>
      </w:pPr>
      <w:r>
        <w:rPr>
          <w:b/>
          <w:bCs/>
          <w:color w:val="1a1a2e"/>
          <w:sz w:val="24"/>
          <w:szCs w:val="24"/>
        </w:rPr>
        <w:t xml:space="preserve">B. HIPAA</w:t>
      </w:r>
    </w:p>
    <w:p>
      <w:pPr>
        <w:spacing w:after="60" w:before="60"/>
        <w:jc w:val="both"/>
      </w:pPr>
      <w:r>
        <w:rPr>
          <w:sz w:val="20"/>
          <w:szCs w:val="20"/>
        </w:rPr>
        <w:t xml:space="preserve">HIPAA Breach Notification Rule requires HHS notification within 60 days. LBRO generates four HIPAA obligations with a 1,440-hour deadline. Triggered when health_data_involved=True or jurisdiction = US.</w:t>
      </w:r>
    </w:p>
    <w:p>
      <w:pPr>
        <w:pStyle w:val="Heading2"/>
        <w:spacing w:after="100" w:before="240"/>
      </w:pPr>
      <w:r>
        <w:rPr>
          <w:b/>
          <w:bCs/>
          <w:color w:val="1a1a2e"/>
          <w:sz w:val="24"/>
          <w:szCs w:val="24"/>
        </w:rPr>
        <w:t xml:space="preserve">C. DPDPA 2023</w:t>
      </w:r>
    </w:p>
    <w:p>
      <w:pPr>
        <w:spacing w:after="60" w:before="60"/>
        <w:jc w:val="both"/>
      </w:pPr>
      <w:r>
        <w:rPr>
          <w:sz w:val="20"/>
          <w:szCs w:val="20"/>
        </w:rPr>
        <w:t xml:space="preserve">India's DPDPA requires notification to the Data Protection Board within 72 hours. LBRO generates three DPDPA obligations. Triggered when personal_data_involved=True or jurisdiction = IN.</w:t>
      </w:r>
    </w:p>
    <w:p>
      <w:pPr>
        <w:pStyle w:val="Heading2"/>
        <w:spacing w:after="100" w:before="240"/>
      </w:pPr>
      <w:r>
        <w:rPr>
          <w:b/>
          <w:bCs/>
          <w:color w:val="1a1a2e"/>
          <w:sz w:val="24"/>
          <w:szCs w:val="24"/>
        </w:rPr>
        <w:t xml:space="preserve">D. Limitations</w:t>
      </w:r>
    </w:p>
    <w:p>
      <w:pPr>
        <w:spacing w:after="60" w:before="60"/>
        <w:jc w:val="both"/>
      </w:pPr>
      <w:r>
        <w:rPr>
          <w:sz w:val="20"/>
          <w:szCs w:val="20"/>
        </w:rPr>
        <w:t xml:space="preserve">LBRO covers primary notification obligations. It does not yet implement: GDPR DPIA workflows, HIPAA BAA management, DPDPA consent management, PCI-DSS, SOC 2, or jurisdiction-specific variations. Adding a regulation requires a single entry in the REGULATION_RULES dictionary.</w:t>
      </w:r>
    </w:p>
    <w:p>
      <w:pPr>
        <w:spacing w:after="60" w:before="60"/>
      </w:pPr>
      <w:r>
        <w:rPr>
          <w:sz w:val="20"/>
          <w:szCs w:val="20"/>
        </w:rPr>
        <w:t xml:space="preserve"/>
      </w:r>
    </w:p>
    <w:p>
      <w:pPr>
        <w:pStyle w:val="Heading1"/>
        <w:spacing w:after="120" w:before="300"/>
      </w:pPr>
      <w:r>
        <w:rPr>
          <w:b/>
          <w:bCs/>
          <w:color w:val="1a1a2e"/>
          <w:sz w:val="28"/>
          <w:szCs w:val="28"/>
        </w:rPr>
        <w:t xml:space="preserve">X. Discussion</w:t>
      </w:r>
    </w:p>
    <w:p>
      <w:pPr>
        <w:pStyle w:val="Heading2"/>
        <w:spacing w:after="100" w:before="240"/>
      </w:pPr>
      <w:r>
        <w:rPr>
          <w:b/>
          <w:bCs/>
          <w:color w:val="1a1a2e"/>
          <w:sz w:val="24"/>
          <w:szCs w:val="24"/>
        </w:rPr>
        <w:t xml:space="preserve">A. Strengths</w:t>
      </w:r>
    </w:p>
    <w:p>
      <w:pPr>
        <w:spacing w:after="60" w:before="60"/>
        <w:jc w:val="both"/>
      </w:pPr>
      <w:r>
        <w:rPr>
          <w:sz w:val="20"/>
          <w:szCs w:val="20"/>
        </w:rPr>
        <w:t xml:space="preserve">LBRO integrates components typically operated as separate products into a single deployable unit, eliminating inter-tool latency and ensuring every incident automatically receives forensic artifacts, compliance obligations, and investigation context at creation time. The composite scoring function for model selection explicitly avoids accuracy-maximization traps in class-imbalanced IDS benchmarks.</w:t>
      </w:r>
    </w:p>
    <w:p>
      <w:pPr>
        <w:pStyle w:val="Heading2"/>
        <w:spacing w:after="100" w:before="240"/>
      </w:pPr>
      <w:r>
        <w:rPr>
          <w:b/>
          <w:bCs/>
          <w:color w:val="1a1a2e"/>
          <w:sz w:val="24"/>
          <w:szCs w:val="24"/>
        </w:rPr>
        <w:t xml:space="preserve">B. Limitations</w:t>
      </w:r>
    </w:p>
    <w:p>
      <w:pPr>
        <w:spacing w:after="60" w:before="60"/>
        <w:jc w:val="both"/>
      </w:pPr>
      <w:r>
        <w:rPr>
          <w:sz w:val="20"/>
          <w:szCs w:val="20"/>
        </w:rPr>
        <w:t xml:space="preserve">The deployed model was trained on a 15,000-sample synthetic subset of CICIDS2017; the full dataset (~2.8M flows) was not used due to sandbox constraints. GaussianNB assumes feature independence, which is violated by correlated CICIDS2017 flow statistics. The in-memory rate limiter does not survive restarts and does not share state across multiple API instances; production scaling requires Redis-backed state.</w:t>
      </w:r>
    </w:p>
    <w:p>
      <w:pPr>
        <w:pStyle w:val="Heading2"/>
        <w:spacing w:after="100" w:before="240"/>
      </w:pPr>
      <w:r>
        <w:rPr>
          <w:b/>
          <w:bCs/>
          <w:color w:val="1a1a2e"/>
          <w:sz w:val="24"/>
          <w:szCs w:val="24"/>
        </w:rPr>
        <w:t xml:space="preserve">C. Future Work</w:t>
      </w:r>
    </w:p>
    <w:p>
      <w:pPr>
        <w:spacing w:after="60" w:before="60"/>
        <w:jc w:val="both"/>
      </w:pPr>
      <w:r>
        <w:rPr>
          <w:sz w:val="20"/>
          <w:szCs w:val="20"/>
        </w:rPr>
        <w:t xml:space="preserve">Planned extensions include: XGBoost/LightGBM evaluation on the full CICIDS2017 dataset; Redis-backed distributed rate limiting; PCI-DSS and SOC 2 compliance modules; an lbro-agent for zero-code application monitoring via file-tail ingestion; STIX/TAXII threat intelligence feed integration; and model drift monitoring with automated retraining triggers.</w:t>
      </w:r>
    </w:p>
    <w:p>
      <w:pPr>
        <w:spacing w:after="60" w:before="60"/>
      </w:pPr>
      <w:r>
        <w:rPr>
          <w:sz w:val="20"/>
          <w:szCs w:val="20"/>
        </w:rPr>
        <w:t xml:space="preserve"/>
      </w:r>
    </w:p>
    <w:p>
      <w:pPr>
        <w:pStyle w:val="Heading1"/>
        <w:spacing w:after="120" w:before="300"/>
      </w:pPr>
      <w:r>
        <w:rPr>
          <w:b/>
          <w:bCs/>
          <w:color w:val="1a1a2e"/>
          <w:sz w:val="28"/>
          <w:szCs w:val="28"/>
        </w:rPr>
        <w:t xml:space="preserve">XI. Conclusion</w:t>
      </w:r>
    </w:p>
    <w:p>
      <w:pPr>
        <w:spacing w:after="60" w:before="60"/>
        <w:jc w:val="both"/>
      </w:pPr>
      <w:r>
        <w:rPr>
          <w:sz w:val="20"/>
          <w:szCs w:val="20"/>
        </w:rPr>
        <w:t xml:space="preserve">This paper presented LBRO, a law-aware breach response orchestrator integrating ML-based attack classification, tamper-evident digital forensics, and multi-jurisdiction regulatory compliance. A systematic evaluation of nine classifiers on CICIDS2017 identified Gaussian Naive Bayes (var_smoothing=1e-12) as the optimal deployment choice: composite score 0.9731, macro F1 0.9692, balanced accuracy 0.9678, MCC 0.9957, and sub-millisecond inference at 19 KB. The backend implements JWT with per-token revocation, bcrypt hashing, four-tier RBAC, sliding-window rate limiting, security headers, and SHA-256 evidence integrity with immutable chain-of-custody tracking. The Compliance Engine automatically generates GDPR, HIPAA, and DPDPA obligations at incident creation time. The complete stack is containerized with Docker Compose and deployable to AWS via Terraform IaC. LBRO provides a reproducible, law-aware foundation for incident response research and operational deployment.</w:t>
      </w:r>
    </w:p>
    <w:p>
      <w:pPr>
        <w:pBdr>
          <w:bottom w:val="single" w:color="AAAAAA" w:sz="1"/>
        </w:pBdr>
        <w:spacing w:after="120" w:before="120"/>
      </w:pPr>
    </w:p>
    <w:p>
      <w:pPr>
        <w:spacing w:after="60" w:before="120"/>
      </w:pPr>
      <w:r>
        <w:rPr>
          <w:b/>
          <w:bCs/>
          <w:color w:val="1a1a2e"/>
          <w:sz w:val="22"/>
          <w:szCs w:val="22"/>
        </w:rPr>
        <w:t xml:space="preserve">Acknowledgment</w:t>
      </w:r>
    </w:p>
    <w:p>
      <w:pPr>
        <w:spacing w:after="60" w:before="60"/>
        <w:jc w:val="both"/>
      </w:pPr>
      <w:r>
        <w:rPr>
          <w:sz w:val="20"/>
          <w:szCs w:val="20"/>
        </w:rPr>
        <w:t xml:space="preserve">The authors thank the Canadian Institute for Cybersecurity for the CICIDS2017 dataset and the open-source communities behind FastAPI, SQLAlchemy, scikit-learn, React, and the broader Python and JavaScript ecosystems.</w:t>
      </w:r>
    </w:p>
    <w:p>
      <w:pPr>
        <w:pBdr>
          <w:bottom w:val="single" w:color="AAAAAA" w:sz="1"/>
        </w:pBdr>
        <w:spacing w:after="120" w:before="120"/>
      </w:pPr>
    </w:p>
    <w:p>
      <w:pPr>
        <w:pStyle w:val="Heading1"/>
        <w:spacing w:after="120" w:before="300"/>
      </w:pPr>
      <w:r>
        <w:rPr>
          <w:b/>
          <w:bCs/>
          <w:color w:val="1a1a2e"/>
          <w:sz w:val="28"/>
          <w:szCs w:val="28"/>
        </w:rPr>
        <w:t xml:space="preserve">References</w:t>
      </w:r>
    </w:p>
    <w:p>
      <w:pPr>
        <w:spacing w:after="40" w:before="40"/>
        <w:ind w:left="360" w:hanging="360"/>
      </w:pPr>
      <w:r>
        <w:rPr>
          <w:sz w:val="18"/>
          <w:szCs w:val="18"/>
        </w:rPr>
        <w:t xml:space="preserve">[1] S. Morgan, "Cybercrime to Cost the World $10.5 Trillion Annually by 2025," Cybersecurity Ventures, Nov. 2020.</w:t>
      </w:r>
    </w:p>
    <w:p>
      <w:pPr>
        <w:spacing w:after="40" w:before="40"/>
        <w:ind w:left="360" w:hanging="360"/>
      </w:pPr>
      <w:r>
        <w:rPr>
          <w:sz w:val="18"/>
          <w:szCs w:val="18"/>
        </w:rPr>
        <w:t xml:space="preserve">[2] OECD, The Digital Transformation of SMEs. Paris: OECD Publishing, 2021, doi: 10.1787/bdb9256a-en.</w:t>
      </w:r>
    </w:p>
    <w:p>
      <w:pPr>
        <w:spacing w:after="40" w:before="40"/>
        <w:ind w:left="360" w:hanging="360"/>
      </w:pPr>
      <w:r>
        <w:rPr>
          <w:sz w:val="18"/>
          <w:szCs w:val="18"/>
        </w:rPr>
        <w:t xml:space="preserve">[3] P. Voigt and A. von dem Bussche, The EU General Data Protection Regulation (GDPR): A Practical Guide. Cham: Springer, 2017.</w:t>
      </w:r>
    </w:p>
    <w:p>
      <w:pPr>
        <w:spacing w:after="40" w:before="40"/>
        <w:ind w:left="360" w:hanging="360"/>
      </w:pPr>
      <w:r>
        <w:rPr>
          <w:sz w:val="18"/>
          <w:szCs w:val="18"/>
        </w:rPr>
        <w:t xml:space="preserve">[4] G. J. Annas, "HIPAA Regulations -- A New Era of Medical-Record Privacy?," New England Journal of Medicine, vol. 348, no. 15, pp. 1486-1490, 2003.</w:t>
      </w:r>
    </w:p>
    <w:p>
      <w:pPr>
        <w:spacing w:after="40" w:before="40"/>
        <w:ind w:left="360" w:hanging="360"/>
      </w:pPr>
      <w:r>
        <w:rPr>
          <w:sz w:val="18"/>
          <w:szCs w:val="18"/>
        </w:rPr>
        <w:t xml:space="preserve">[5] Ministry of Electronics and Information Technology, The Digital Personal Data Protection Act, 2023, Aug. 2023.</w:t>
      </w:r>
    </w:p>
    <w:p>
      <w:pPr>
        <w:spacing w:after="40" w:before="40"/>
        <w:ind w:left="360" w:hanging="360"/>
      </w:pPr>
      <w:r>
        <w:rPr>
          <w:sz w:val="18"/>
          <w:szCs w:val="18"/>
        </w:rPr>
        <w:t xml:space="preserve">[6] Splunk Inc., Splunk Enterprise Security. [Online]. Available: https://www.splunk.com/en_us/products/enterprise-security.html</w:t>
      </w:r>
    </w:p>
    <w:p>
      <w:pPr>
        <w:spacing w:after="40" w:before="40"/>
        <w:ind w:left="360" w:hanging="360"/>
      </w:pPr>
      <w:r>
        <w:rPr>
          <w:sz w:val="18"/>
          <w:szCs w:val="18"/>
        </w:rPr>
        <w:t xml:space="preserve">[7] IBM Corporation, IBM QRadar SIEM. [Online]. Available: https://www.ibm.com/products/qradar-siem</w:t>
      </w:r>
    </w:p>
    <w:p>
      <w:pPr>
        <w:spacing w:after="40" w:before="40"/>
        <w:ind w:left="360" w:hanging="360"/>
      </w:pPr>
      <w:r>
        <w:rPr>
          <w:sz w:val="18"/>
          <w:szCs w:val="18"/>
        </w:rPr>
        <w:t xml:space="preserve">[8] CrowdStrike Holdings Inc., CrowdStrike Falcon Platform. [Online]. Available: https://www.crowdstrike.com/platform/</w:t>
      </w:r>
    </w:p>
    <w:p>
      <w:pPr>
        <w:spacing w:after="40" w:before="40"/>
        <w:ind w:left="360" w:hanging="360"/>
      </w:pPr>
      <w:r>
        <w:rPr>
          <w:sz w:val="18"/>
          <w:szCs w:val="18"/>
        </w:rPr>
        <w:t xml:space="preserve">[9] Microsoft Corporation, Microsoft Defender for Endpoint. [Online]. Available: https://docs.microsoft.com/en-us/microsoft-365/security/defender-endpoint/</w:t>
      </w:r>
    </w:p>
    <w:p>
      <w:pPr>
        <w:spacing w:after="40" w:before="40"/>
        <w:ind w:left="360" w:hanging="360"/>
      </w:pPr>
      <w:r>
        <w:rPr>
          <w:sz w:val="18"/>
          <w:szCs w:val="18"/>
        </w:rPr>
        <w:t xml:space="preserve">[10] Elastic N.V., Elastic Security. [Online]. Available: https://www.elastic.co/security</w:t>
      </w:r>
    </w:p>
    <w:p>
      <w:pPr>
        <w:spacing w:after="40" w:before="40"/>
        <w:ind w:left="360" w:hanging="360"/>
      </w:pPr>
      <w:r>
        <w:rPr>
          <w:sz w:val="18"/>
          <w:szCs w:val="18"/>
        </w:rPr>
        <w:t xml:space="preserve">[11] StrangeBee SAS, TheHive Security Incident Response Platform. [Online]. Available: https://thehive-project.org</w:t>
      </w:r>
    </w:p>
    <w:p>
      <w:pPr>
        <w:spacing w:after="40" w:before="40"/>
        <w:ind w:left="360" w:hanging="360"/>
      </w:pPr>
      <w:r>
        <w:rPr>
          <w:sz w:val="18"/>
          <w:szCs w:val="18"/>
        </w:rPr>
        <w:t xml:space="preserve">[12] Shuffle Automation AS, Shuffle: An Open-Source SOAR Platform. [Online]. Available: https://shuffler.io</w:t>
      </w:r>
    </w:p>
    <w:p>
      <w:pPr>
        <w:spacing w:after="40" w:before="40"/>
        <w:ind w:left="360" w:hanging="360"/>
      </w:pPr>
      <w:r>
        <w:rPr>
          <w:sz w:val="18"/>
          <w:szCs w:val="18"/>
        </w:rPr>
        <w:t xml:space="preserve">[13] A. L. Buczak and E. Guven, "A Survey of Data Mining and Machine Learning Methods for Cyber Security Intrusion Detection," IEEE Commun. Surveys Tuts., vol. 18, no. 2, pp. 1153-1176, 2016.</w:t>
      </w:r>
    </w:p>
    <w:p>
      <w:pPr>
        <w:spacing w:after="40" w:before="40"/>
        <w:ind w:left="360" w:hanging="360"/>
      </w:pPr>
      <w:r>
        <w:rPr>
          <w:sz w:val="18"/>
          <w:szCs w:val="18"/>
        </w:rPr>
        <w:t xml:space="preserve">[14] H.-J. Liao, C.-H. R. Lin, Y.-C. Lin, and K.-Y. Tung, "Intrusion Detection System: A Comprehensive Review," J. Netw. Comput. Appl., vol. 36, no. 1, pp. 16-24, 2013.</w:t>
      </w:r>
    </w:p>
    <w:p>
      <w:pPr>
        <w:spacing w:after="40" w:before="40"/>
        <w:ind w:left="360" w:hanging="360"/>
      </w:pPr>
      <w:r>
        <w:rPr>
          <w:sz w:val="18"/>
          <w:szCs w:val="18"/>
        </w:rPr>
        <w:t xml:space="preserve">[15] I. Sharafaldin, A. H. Lashkari, and A. A. Ghorbani, "Toward Generating a New Intrusion Detection Dataset and Intrusion Traffic Characterization," in Proc. ICISSP 2018, pp. 108-116.</w:t>
      </w:r>
    </w:p>
    <w:p>
      <w:pPr>
        <w:spacing w:after="40" w:before="40"/>
        <w:ind w:left="360" w:hanging="360"/>
      </w:pPr>
      <w:r>
        <w:rPr>
          <w:sz w:val="18"/>
          <w:szCs w:val="18"/>
        </w:rPr>
        <w:t xml:space="preserve">[16] R. Panigrahi and S. Borah, "A Detailed Analysis of CICIDS2017 Dataset for Designing Intrusion Detection Systems," Int. J. Eng. Technol., vol. 7, no. 3.24, pp. 479-482, 2018.</w:t>
      </w:r>
    </w:p>
    <w:p>
      <w:pPr>
        <w:spacing w:after="40" w:before="40"/>
        <w:ind w:left="360" w:hanging="360"/>
      </w:pPr>
      <w:r>
        <w:rPr>
          <w:sz w:val="18"/>
          <w:szCs w:val="18"/>
        </w:rPr>
        <w:t xml:space="preserve">[17] E. Casey, Digital Evidence and Computer Crime, 3rd ed. Amsterdam: Academic Press, 2011.</w:t>
      </w:r>
    </w:p>
    <w:p>
      <w:pPr>
        <w:spacing w:after="40" w:before="40"/>
        <w:ind w:left="360" w:hanging="360"/>
      </w:pPr>
      <w:r>
        <w:rPr>
          <w:sz w:val="18"/>
          <w:szCs w:val="18"/>
        </w:rPr>
        <w:t xml:space="preserve">[18] S. L. Garfinkel, "Digital Forensics Research: The Next 10 Years," Digital Investig., vol. 7, pp. S64-S73, 2010.</w:t>
      </w:r>
    </w:p>
    <w:p>
      <w:pPr>
        <w:spacing w:after="40" w:before="40"/>
        <w:ind w:left="360" w:hanging="360"/>
      </w:pPr>
      <w:r>
        <w:rPr>
          <w:sz w:val="18"/>
          <w:szCs w:val="18"/>
        </w:rPr>
        <w:t xml:space="preserve">[19] M. Goddard, "The EU GDPR: European Regulation that has a Global Impact," Int. J. Market Res., vol. 59, no. 6, pp. 703-705, 2017.</w:t>
      </w:r>
    </w:p>
    <w:p>
      <w:pPr>
        <w:spacing w:after="40" w:before="40"/>
        <w:ind w:left="360" w:hanging="360"/>
      </w:pPr>
      <w:r>
        <w:rPr>
          <w:sz w:val="18"/>
          <w:szCs w:val="18"/>
        </w:rPr>
        <w:t xml:space="preserve">[20] R. T. Mercuri, "The HIPAA-potamus in the Health Care Room," Commun. ACM, vol. 47, no. 7, pp. 25-28, 2004.</w:t>
      </w:r>
    </w:p>
    <w:p>
      <w:pPr>
        <w:spacing w:after="40" w:before="40"/>
        <w:ind w:left="360" w:hanging="360"/>
      </w:pPr>
      <w:r>
        <w:rPr>
          <w:sz w:val="18"/>
          <w:szCs w:val="18"/>
        </w:rPr>
        <w:t xml:space="preserve">[21] IBM Security, Cost of a Data Breach Report 2022. IBM Corporation and Ponemon Institute, 2022.</w:t>
      </w:r>
    </w:p>
    <w:p>
      <w:pPr>
        <w:spacing w:after="40" w:before="40"/>
        <w:ind w:left="360" w:hanging="360"/>
      </w:pPr>
      <w:r>
        <w:rPr>
          <w:sz w:val="18"/>
          <w:szCs w:val="18"/>
        </w:rPr>
        <w:t xml:space="preserve">[22] N. Provos and D. Mazieres, "A Future-Adaptable Password Scheme," in Proc. USENIX ATC 1999 (FREENIX), pp. 81-91.</w:t>
      </w:r>
    </w:p>
    <w:p>
      <w:pPr>
        <w:spacing w:after="40" w:before="40"/>
        <w:ind w:left="360" w:hanging="360"/>
      </w:pPr>
      <w:r>
        <w:rPr>
          <w:sz w:val="18"/>
          <w:szCs w:val="18"/>
        </w:rPr>
        <w:t xml:space="preserve">[23] M. Jones, J. Bradley, and N. Sakimura, "JSON Web Token (JWT)," IETF RFC 7519, May 2015.</w:t>
      </w:r>
    </w:p>
    <w:p>
      <w:pPr>
        <w:spacing w:after="40" w:before="40"/>
        <w:ind w:left="360" w:hanging="360"/>
      </w:pPr>
      <w:r>
        <w:rPr>
          <w:sz w:val="18"/>
          <w:szCs w:val="18"/>
        </w:rPr>
        <w:t xml:space="preserve">[24] L. Breiman, "Random Forests," Mach. Learn., vol. 45, no. 1, pp. 5-32, 2001.</w:t>
      </w:r>
    </w:p>
    <w:p>
      <w:pPr>
        <w:spacing w:after="40" w:before="40"/>
        <w:ind w:left="360" w:hanging="360"/>
      </w:pPr>
      <w:r>
        <w:rPr>
          <w:sz w:val="18"/>
          <w:szCs w:val="18"/>
        </w:rPr>
        <w:t xml:space="preserve">[25] I. Rish, "An Empirical Study of the Naive Bayes Classifier," in Proc. IJCAI 2001 Workshop Empirical Methods AI, pp. 41-46.</w:t>
      </w:r>
    </w:p>
    <w:p>
      <w:pPr>
        <w:spacing w:after="40" w:before="40"/>
        <w:ind w:left="360" w:hanging="360"/>
      </w:pPr>
      <w:r>
        <w:rPr>
          <w:sz w:val="18"/>
          <w:szCs w:val="18"/>
        </w:rPr>
        <w:t xml:space="preserve">[26] T. Fawcett, "An Introduction to ROC Analysis," Pattern Recognit. Lett., vol. 27, no. 8, pp. 861-874, 2006.</w:t>
      </w:r>
    </w:p>
    <w:p>
      <w:pPr>
        <w:spacing w:after="40" w:before="40"/>
        <w:ind w:left="360" w:hanging="360"/>
      </w:pPr>
      <w:r>
        <w:rPr>
          <w:sz w:val="18"/>
          <w:szCs w:val="18"/>
        </w:rPr>
        <w:t xml:space="preserve">[27] B. W. Matthews, "Comparison of the Predicted and Observed Secondary Structure of T4 Phage Lysozyme," Biochim. Biophys. Acta, vol. 405, no. 2, pp. 442-451, 1975.</w:t>
      </w:r>
    </w:p>
    <w:p>
      <w:pPr>
        <w:spacing w:after="40" w:before="40"/>
        <w:ind w:left="360" w:hanging="360"/>
      </w:pPr>
      <w:r>
        <w:rPr>
          <w:sz w:val="18"/>
          <w:szCs w:val="18"/>
        </w:rPr>
        <w:t xml:space="preserve">[28] D. Merkel, "Docker: Lightweight Linux Containers for Consistent Development and Deployment," Linux J., vol. 2014, no. 239, 2014.</w:t>
      </w:r>
    </w:p>
    <w:p>
      <w:pPr>
        <w:spacing w:after="40" w:before="40"/>
        <w:ind w:left="360" w:hanging="360"/>
      </w:pPr>
      <w:r>
        <w:rPr>
          <w:sz w:val="18"/>
          <w:szCs w:val="18"/>
        </w:rPr>
        <w:t xml:space="preserve">[29] P. Mell and T. Grance, "The NIST Definition of Cloud Computing," NIST SP 800-145, Sep. 2011.</w:t>
      </w:r>
    </w:p>
    <w:p>
      <w:pPr>
        <w:spacing w:after="40" w:before="40"/>
        <w:ind w:left="360" w:hanging="360"/>
      </w:pPr>
      <w:r>
        <w:rPr>
          <w:sz w:val="18"/>
          <w:szCs w:val="18"/>
        </w:rPr>
        <w:t xml:space="preserve">[30] P. Cichonski, T. Millar, T. Grance, and K. Scarfone, "Computer Security Incident Handling Guide," NIST SP 800-61r2, Aug. 2012.</w:t>
      </w:r>
    </w:p>
    <w:p>
      <w:pPr>
        <w:spacing w:after="40" w:before="40"/>
        <w:ind w:left="360" w:hanging="360"/>
      </w:pPr>
      <w:r>
        <w:rPr>
          <w:sz w:val="18"/>
          <w:szCs w:val="18"/>
        </w:rPr>
        <w:t xml:space="preserve">[31] NIST, "Framework for Improving Critical Infrastructure Cybersecurity, Version 1.1," Apr. 2018.</w:t>
      </w:r>
    </w:p>
    <w:p>
      <w:pPr>
        <w:spacing w:after="40" w:before="40"/>
        <w:ind w:left="360" w:hanging="360"/>
      </w:pPr>
      <w:r>
        <w:rPr>
          <w:sz w:val="18"/>
          <w:szCs w:val="18"/>
        </w:rPr>
        <w:t xml:space="preserve">[32] The MITRE Corporation, "MITRE ATT&amp;CK: Design and Philosophy," Technical Report, 2018.</w:t>
      </w:r>
    </w:p>
    <w:p>
      <w:pPr>
        <w:spacing w:after="40" w:before="40"/>
        <w:ind w:left="360" w:hanging="360"/>
      </w:pPr>
      <w:r>
        <w:rPr>
          <w:sz w:val="18"/>
          <w:szCs w:val="18"/>
        </w:rPr>
        <w:t xml:space="preserve">[33] OWASP Foundation, OWASP Top 10 2021. [Online]. Available: https://owasp.org/Top10/</w:t>
      </w:r>
    </w:p>
    <w:p>
      <w:pPr>
        <w:spacing w:after="40" w:before="40"/>
        <w:ind w:left="360" w:hanging="360"/>
      </w:pPr>
      <w:r>
        <w:rPr>
          <w:sz w:val="18"/>
          <w:szCs w:val="18"/>
        </w:rPr>
        <w:t xml:space="preserve">[34] H. Zhang, "The Optimality of Naive Bayes," in Proc. 17th Int. FLAIRS Conf., 2004, pp. 562-567.</w:t>
      </w:r>
    </w:p>
    <w:p>
      <w:pPr>
        <w:spacing w:after="40" w:before="40"/>
        <w:ind w:left="360" w:hanging="360"/>
      </w:pPr>
      <w:r>
        <w:rPr>
          <w:sz w:val="18"/>
          <w:szCs w:val="18"/>
        </w:rPr>
        <w:t xml:space="preserve">[35] M. Ring et al., "A Survey of Network-Based Intrusion Detection Data Sets," Comput. Secur., vol. 86, pp. 147-167, 2019.</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666666"/>
        <w:sz w:val="16"/>
        <w:szCs w:val="16"/>
      </w:rPr>
      <w:t xml:space="preserve">LBRO — IEEE Conference Paper (Pre-print)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2026-07-14T09:53:27.278Z</dcterms:created>
  <dcterms:modified xsi:type="dcterms:W3CDTF">2026-07-14T09:53:27.279Z</dcterms:modified>
</cp:coreProperties>
</file>

<file path=docProps/custom.xml><?xml version="1.0" encoding="utf-8"?>
<Properties xmlns="http://schemas.openxmlformats.org/officeDocument/2006/custom-properties" xmlns:vt="http://schemas.openxmlformats.org/officeDocument/2006/docPropsVTypes"/>
</file>